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Theme="minorEastAsia" w:hAnsiTheme="minorEastAsia" w:eastAsiaTheme="minorEastAsia"/>
          <w:sz w:val="48"/>
          <w:szCs w:val="48"/>
        </w:rPr>
      </w:pPr>
    </w:p>
    <w:p>
      <w:pPr>
        <w:spacing w:line="360" w:lineRule="auto"/>
        <w:jc w:val="center"/>
        <w:rPr>
          <w:rFonts w:asciiTheme="minorEastAsia" w:hAnsiTheme="minorEastAsia" w:eastAsiaTheme="minorEastAsia"/>
          <w:sz w:val="48"/>
          <w:szCs w:val="48"/>
        </w:rPr>
      </w:pPr>
      <w:r>
        <w:rPr>
          <w:rFonts w:hint="eastAsia" w:asciiTheme="minorEastAsia" w:hAnsiTheme="minorEastAsia" w:eastAsiaTheme="minorEastAsia"/>
          <w:sz w:val="48"/>
          <w:szCs w:val="48"/>
        </w:rPr>
        <w:t>电梯设备买卖合同</w:t>
      </w:r>
    </w:p>
    <w:p>
      <w:pPr>
        <w:spacing w:line="400" w:lineRule="exact"/>
        <w:rPr>
          <w:rFonts w:asciiTheme="minorEastAsia" w:hAnsiTheme="minorEastAsia" w:eastAsiaTheme="minorEastAsia"/>
          <w:szCs w:val="21"/>
          <w:u w:val="single"/>
        </w:rPr>
      </w:pPr>
      <w:r>
        <w:rPr>
          <w:rFonts w:hint="eastAsia" w:asciiTheme="minorEastAsia" w:hAnsiTheme="minorEastAsia" w:eastAsiaTheme="minorEastAsia"/>
          <w:sz w:val="24"/>
        </w:rPr>
        <w:t xml:space="preserve">                                         </w:t>
      </w:r>
      <w:r>
        <w:rPr>
          <w:rFonts w:hint="eastAsia" w:asciiTheme="minorEastAsia" w:hAnsiTheme="minorEastAsia" w:eastAsiaTheme="minorEastAsia"/>
          <w:szCs w:val="21"/>
        </w:rPr>
        <w:t>项目名称：</w:t>
      </w:r>
      <w:r>
        <w:rPr>
          <w:rFonts w:hint="eastAsia" w:asciiTheme="minorEastAsia" w:hAnsiTheme="minorEastAsia" w:eastAsiaTheme="minorEastAsia"/>
          <w:szCs w:val="21"/>
          <w:u w:val="single"/>
        </w:rPr>
        <w:t>渝中区</w:t>
      </w:r>
      <w:r>
        <w:rPr>
          <w:rFonts w:hint="eastAsia" w:asciiTheme="minorEastAsia" w:hAnsiTheme="minorEastAsia" w:eastAsiaTheme="minorEastAsia"/>
          <w:szCs w:val="21"/>
          <w:u w:val="single"/>
          <w:lang w:val="en-US" w:eastAsia="zh-CN"/>
        </w:rPr>
        <w:t>鹅</w:t>
      </w:r>
      <w:r>
        <w:rPr>
          <w:rFonts w:hint="eastAsia" w:asciiTheme="minorEastAsia" w:hAnsiTheme="minorEastAsia" w:eastAsiaTheme="minorEastAsia"/>
          <w:szCs w:val="21"/>
          <w:u w:val="single"/>
        </w:rPr>
        <w:t xml:space="preserve">岭正街1号编号华江34、35号楼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p>
    <w:p>
      <w:pPr>
        <w:spacing w:line="400" w:lineRule="exact"/>
        <w:rPr>
          <w:rFonts w:asciiTheme="minorEastAsia" w:hAnsiTheme="minorEastAsia" w:eastAsiaTheme="minorEastAsia"/>
          <w:u w:val="single"/>
        </w:rPr>
      </w:pPr>
      <w:r>
        <w:rPr>
          <w:rFonts w:hint="eastAsia" w:asciiTheme="minorEastAsia" w:hAnsiTheme="minorEastAsia" w:eastAsiaTheme="minorEastAsia"/>
          <w:sz w:val="24"/>
        </w:rPr>
        <w:t xml:space="preserve">      </w:t>
      </w:r>
      <w:r>
        <w:rPr>
          <w:rFonts w:hint="eastAsia" w:asciiTheme="minorEastAsia" w:hAnsiTheme="minorEastAsia" w:eastAsiaTheme="minorEastAsia"/>
        </w:rPr>
        <w:t xml:space="preserve">                                        合同编号：</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p>
    <w:p>
      <w:pPr>
        <w:spacing w:line="400" w:lineRule="exact"/>
        <w:rPr>
          <w:rFonts w:asciiTheme="minorEastAsia" w:hAnsiTheme="minorEastAsia" w:eastAsiaTheme="minorEastAsia"/>
          <w:szCs w:val="21"/>
        </w:rPr>
      </w:pPr>
      <w:r>
        <w:rPr>
          <w:rFonts w:hint="eastAsia" w:asciiTheme="minorEastAsia" w:hAnsiTheme="minorEastAsia" w:eastAsiaTheme="minorEastAsia"/>
          <w:sz w:val="18"/>
        </w:rPr>
        <w:t xml:space="preserve">                                                       </w:t>
      </w:r>
      <w:r>
        <w:rPr>
          <w:rFonts w:hint="eastAsia" w:asciiTheme="minorEastAsia" w:hAnsiTheme="minorEastAsia" w:eastAsiaTheme="minorEastAsia"/>
          <w:szCs w:val="21"/>
        </w:rPr>
        <w:t>标的设备规格：□标准型  ☑订制型 □交货期非常规</w:t>
      </w:r>
    </w:p>
    <w:p>
      <w:pPr>
        <w:spacing w:line="400" w:lineRule="exact"/>
        <w:ind w:right="420" w:firstLine="4935" w:firstLineChars="2350"/>
        <w:rPr>
          <w:rFonts w:asciiTheme="minorEastAsia" w:hAnsiTheme="minorEastAsia" w:eastAsiaTheme="minorEastAsia"/>
        </w:rPr>
      </w:pPr>
      <w:r>
        <w:rPr>
          <w:rFonts w:hint="eastAsia" w:asciiTheme="minorEastAsia" w:hAnsiTheme="minorEastAsia" w:eastAsiaTheme="minorEastAsia"/>
        </w:rPr>
        <w:t>签订日期：</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p>
      <w:pPr>
        <w:spacing w:line="400" w:lineRule="exact"/>
        <w:ind w:left="-181" w:leftChars="-86" w:right="-290"/>
        <w:rPr>
          <w:rFonts w:asciiTheme="minorEastAsia" w:hAnsiTheme="minorEastAsia" w:eastAsiaTheme="minorEastAsia"/>
          <w:u w:val="single"/>
        </w:rPr>
      </w:pPr>
      <w:r>
        <w:rPr>
          <w:rFonts w:hint="eastAsia" w:asciiTheme="minorEastAsia" w:hAnsiTheme="minorEastAsia" w:eastAsiaTheme="minorEastAsia"/>
        </w:rPr>
        <w:t xml:space="preserve">                                                 签订地点：</w:t>
      </w:r>
      <w:r>
        <w:rPr>
          <w:rFonts w:hint="eastAsia" w:asciiTheme="minorEastAsia" w:hAnsiTheme="minorEastAsia" w:eastAsiaTheme="minorEastAsia"/>
          <w:u w:val="single"/>
        </w:rPr>
        <w:t>重庆市渝中区</w:t>
      </w:r>
      <w:r>
        <w:rPr>
          <w:rFonts w:hint="eastAsia" w:asciiTheme="minorEastAsia" w:hAnsiTheme="minorEastAsia" w:eastAsiaTheme="minorEastAsia"/>
          <w:u w:val="single"/>
          <w:lang w:val="en-US" w:eastAsia="zh-CN"/>
        </w:rPr>
        <w:t>鹅</w:t>
      </w:r>
      <w:r>
        <w:rPr>
          <w:rFonts w:hint="eastAsia" w:asciiTheme="minorEastAsia" w:hAnsiTheme="minorEastAsia" w:eastAsiaTheme="minorEastAsia"/>
          <w:u w:val="single"/>
        </w:rPr>
        <w:t xml:space="preserve">岭正街1号  </w:t>
      </w:r>
    </w:p>
    <w:tbl>
      <w:tblPr>
        <w:tblStyle w:val="1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5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line="400" w:lineRule="exact"/>
              <w:jc w:val="center"/>
              <w:rPr>
                <w:rFonts w:asciiTheme="minorEastAsia" w:hAnsiTheme="minorEastAsia" w:eastAsiaTheme="minorEastAsia"/>
                <w:sz w:val="28"/>
              </w:rPr>
            </w:pPr>
            <w:r>
              <w:rPr>
                <w:rFonts w:hint="eastAsia" w:asciiTheme="minorEastAsia" w:hAnsiTheme="minorEastAsia" w:eastAsiaTheme="minorEastAsia"/>
                <w:sz w:val="28"/>
              </w:rPr>
              <w:t>甲   方</w:t>
            </w:r>
            <w:r>
              <w:rPr>
                <w:rFonts w:hint="eastAsia" w:asciiTheme="minorEastAsia" w:hAnsiTheme="minorEastAsia" w:eastAsiaTheme="minorEastAsia"/>
                <w:sz w:val="24"/>
              </w:rPr>
              <w:t>（采购</w:t>
            </w:r>
            <w:r>
              <w:rPr>
                <w:rFonts w:asciiTheme="minorEastAsia" w:hAnsiTheme="minorEastAsia" w:eastAsiaTheme="minorEastAsia"/>
                <w:sz w:val="24"/>
              </w:rPr>
              <w:t>方</w:t>
            </w:r>
            <w:r>
              <w:rPr>
                <w:rFonts w:hint="eastAsia" w:asciiTheme="minorEastAsia" w:hAnsiTheme="minorEastAsia" w:eastAsiaTheme="minorEastAsia"/>
                <w:sz w:val="24"/>
              </w:rPr>
              <w:t>）</w:t>
            </w:r>
          </w:p>
          <w:p>
            <w:pPr>
              <w:spacing w:line="400" w:lineRule="exact"/>
              <w:ind w:left="1680" w:hanging="1680" w:hangingChars="800"/>
              <w:rPr>
                <w:rFonts w:asciiTheme="minorEastAsia" w:hAnsiTheme="minorEastAsia" w:eastAsiaTheme="minorEastAsia"/>
                <w:sz w:val="22"/>
                <w:u w:val="single"/>
              </w:rPr>
            </w:pPr>
            <w:r>
              <w:rPr>
                <w:rFonts w:hint="eastAsia" w:asciiTheme="minorEastAsia" w:hAnsiTheme="minorEastAsia" w:eastAsiaTheme="minorEastAsia"/>
              </w:rPr>
              <w:t>单位/个人名称（盖章）：</w:t>
            </w:r>
            <w:r>
              <w:rPr>
                <w:rFonts w:hint="eastAsia" w:asciiTheme="minorEastAsia" w:hAnsiTheme="minorEastAsia" w:eastAsiaTheme="minorEastAsia"/>
                <w:u w:val="single"/>
              </w:rPr>
              <w:t>华西包装（集团）有限责任公司</w:t>
            </w:r>
            <w:r>
              <w:rPr>
                <w:rFonts w:hint="eastAsia" w:asciiTheme="minorEastAsia" w:hAnsiTheme="minorEastAsia" w:eastAsiaTheme="minorEastAsia"/>
                <w:sz w:val="22"/>
                <w:u w:val="single"/>
              </w:rPr>
              <w:t xml:space="preserve">                      </w:t>
            </w:r>
          </w:p>
          <w:p>
            <w:pPr>
              <w:spacing w:line="400" w:lineRule="exact"/>
              <w:rPr>
                <w:rFonts w:asciiTheme="minorEastAsia" w:hAnsiTheme="minorEastAsia" w:eastAsiaTheme="minorEastAsia"/>
                <w:u w:val="single"/>
              </w:rPr>
            </w:pPr>
            <w:r>
              <w:rPr>
                <w:rFonts w:hint="eastAsia" w:asciiTheme="minorEastAsia" w:hAnsiTheme="minorEastAsia" w:eastAsiaTheme="minorEastAsia"/>
              </w:rPr>
              <w:t>联系地址：</w:t>
            </w:r>
            <w:r>
              <w:rPr>
                <w:rFonts w:hint="eastAsia" w:asciiTheme="minorEastAsia" w:hAnsiTheme="minorEastAsia" w:eastAsiaTheme="minorEastAsia"/>
                <w:u w:val="single"/>
              </w:rPr>
              <w:t xml:space="preserve">重庆市渝中区悍卫路6号临华大厦10楼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p>
          <w:p>
            <w:pPr>
              <w:spacing w:line="400" w:lineRule="exact"/>
              <w:rPr>
                <w:rFonts w:asciiTheme="minorEastAsia" w:hAnsiTheme="minorEastAsia" w:eastAsiaTheme="minorEastAsia"/>
              </w:rPr>
            </w:pPr>
            <w:r>
              <w:rPr>
                <w:rFonts w:hint="eastAsia" w:asciiTheme="minorEastAsia" w:hAnsiTheme="minorEastAsia" w:eastAsiaTheme="minorEastAsia"/>
              </w:rPr>
              <w:t>电</w:t>
            </w:r>
            <w:r>
              <w:rPr>
                <w:rFonts w:asciiTheme="minorEastAsia" w:hAnsiTheme="minorEastAsia" w:eastAsiaTheme="minorEastAsia"/>
              </w:rPr>
              <w:t xml:space="preserve">          </w:t>
            </w:r>
            <w:r>
              <w:rPr>
                <w:rFonts w:hint="eastAsia" w:asciiTheme="minorEastAsia" w:hAnsiTheme="minorEastAsia" w:eastAsiaTheme="minorEastAsia"/>
              </w:rPr>
              <w:t>话：</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023-6353 3953                          </w:t>
            </w:r>
            <w:r>
              <w:rPr>
                <w:rFonts w:asciiTheme="minorEastAsia" w:hAnsiTheme="minorEastAsia" w:eastAsiaTheme="minorEastAsia"/>
              </w:rPr>
              <w:t xml:space="preserve"> </w:t>
            </w:r>
          </w:p>
          <w:p>
            <w:pPr>
              <w:spacing w:line="400" w:lineRule="exact"/>
              <w:rPr>
                <w:rFonts w:asciiTheme="minorEastAsia" w:hAnsiTheme="minorEastAsia" w:eastAsiaTheme="minorEastAsia"/>
              </w:rPr>
            </w:pPr>
            <w:r>
              <w:rPr>
                <w:rFonts w:hint="eastAsia" w:asciiTheme="minorEastAsia" w:hAnsiTheme="minorEastAsia" w:eastAsiaTheme="minorEastAsia"/>
              </w:rPr>
              <w:t>传</w:t>
            </w:r>
            <w:r>
              <w:rPr>
                <w:rFonts w:asciiTheme="minorEastAsia" w:hAnsiTheme="minorEastAsia" w:eastAsiaTheme="minorEastAsia"/>
              </w:rPr>
              <w:t xml:space="preserve">          </w:t>
            </w:r>
            <w:r>
              <w:rPr>
                <w:rFonts w:hint="eastAsia" w:asciiTheme="minorEastAsia" w:hAnsiTheme="minorEastAsia" w:eastAsiaTheme="minorEastAsia"/>
              </w:rPr>
              <w:t>真：</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023-6353 3953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asciiTheme="minorEastAsia" w:hAnsiTheme="minorEastAsia" w:eastAsiaTheme="minorEastAsia"/>
              </w:rPr>
              <w:t xml:space="preserve"> </w:t>
            </w:r>
          </w:p>
          <w:p>
            <w:pPr>
              <w:spacing w:line="400" w:lineRule="exact"/>
              <w:rPr>
                <w:rFonts w:asciiTheme="minorEastAsia" w:hAnsiTheme="minorEastAsia" w:eastAsiaTheme="minorEastAsia"/>
                <w:u w:val="single"/>
              </w:rPr>
            </w:pPr>
            <w:r>
              <w:rPr>
                <w:rFonts w:hint="eastAsia" w:asciiTheme="minorEastAsia" w:hAnsiTheme="minorEastAsia" w:eastAsiaTheme="minorEastAsia"/>
              </w:rPr>
              <w:t>邮</w:t>
            </w:r>
            <w:r>
              <w:rPr>
                <w:rFonts w:asciiTheme="minorEastAsia" w:hAnsiTheme="minorEastAsia" w:eastAsiaTheme="minorEastAsia"/>
              </w:rPr>
              <w:t xml:space="preserve">       </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编：</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400013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p>
          <w:p>
            <w:pPr>
              <w:spacing w:line="400" w:lineRule="exact"/>
              <w:rPr>
                <w:rFonts w:asciiTheme="minorEastAsia" w:hAnsiTheme="minorEastAsia" w:eastAsiaTheme="minorEastAsia"/>
                <w:u w:val="single"/>
              </w:rPr>
            </w:pPr>
            <w:r>
              <w:rPr>
                <w:rFonts w:hint="eastAsia" w:asciiTheme="minorEastAsia" w:hAnsiTheme="minorEastAsia" w:eastAsiaTheme="minorEastAsia"/>
              </w:rPr>
              <w:t>开</w:t>
            </w:r>
            <w:r>
              <w:rPr>
                <w:rFonts w:asciiTheme="minorEastAsia" w:hAnsiTheme="minorEastAsia" w:eastAsiaTheme="minorEastAsia"/>
              </w:rPr>
              <w:t xml:space="preserve">  </w:t>
            </w:r>
            <w:r>
              <w:rPr>
                <w:rFonts w:hint="eastAsia" w:asciiTheme="minorEastAsia" w:hAnsiTheme="minorEastAsia" w:eastAsiaTheme="minorEastAsia"/>
              </w:rPr>
              <w:t>户</w:t>
            </w:r>
            <w:r>
              <w:rPr>
                <w:rFonts w:asciiTheme="minorEastAsia" w:hAnsiTheme="minorEastAsia" w:eastAsiaTheme="minorEastAsia"/>
              </w:rPr>
              <w:t xml:space="preserve">  </w:t>
            </w:r>
            <w:r>
              <w:rPr>
                <w:rFonts w:hint="eastAsia" w:asciiTheme="minorEastAsia" w:hAnsiTheme="minorEastAsia" w:eastAsiaTheme="minorEastAsia"/>
              </w:rPr>
              <w:t>银</w:t>
            </w:r>
            <w:r>
              <w:rPr>
                <w:rFonts w:asciiTheme="minorEastAsia" w:hAnsiTheme="minorEastAsia" w:eastAsiaTheme="minorEastAsia"/>
              </w:rPr>
              <w:t xml:space="preserve">  </w:t>
            </w:r>
            <w:r>
              <w:rPr>
                <w:rFonts w:hint="eastAsia" w:asciiTheme="minorEastAsia" w:hAnsiTheme="minorEastAsia" w:eastAsiaTheme="minorEastAsia"/>
              </w:rPr>
              <w:t>行：</w:t>
            </w:r>
            <w:r>
              <w:rPr>
                <w:rFonts w:hint="eastAsia" w:asciiTheme="minorEastAsia" w:hAnsiTheme="minorEastAsia" w:eastAsiaTheme="minorEastAsia"/>
                <w:u w:val="single"/>
              </w:rPr>
              <w:t xml:space="preserve"> 中国工商银行重庆七星岗支行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p>
          <w:p>
            <w:pPr>
              <w:spacing w:line="400" w:lineRule="exact"/>
              <w:rPr>
                <w:rFonts w:asciiTheme="minorEastAsia" w:hAnsiTheme="minorEastAsia" w:eastAsiaTheme="minorEastAsia"/>
                <w:u w:val="single"/>
              </w:rPr>
            </w:pPr>
            <w:r>
              <w:rPr>
                <w:rFonts w:hint="eastAsia" w:asciiTheme="minorEastAsia" w:hAnsiTheme="minorEastAsia" w:eastAsiaTheme="minorEastAsia"/>
              </w:rPr>
              <w:t>账</w:t>
            </w:r>
            <w:r>
              <w:rPr>
                <w:rFonts w:asciiTheme="minorEastAsia" w:hAnsiTheme="minorEastAsia" w:eastAsiaTheme="minorEastAsia"/>
              </w:rPr>
              <w:t xml:space="preserve">          </w:t>
            </w:r>
            <w:r>
              <w:rPr>
                <w:rFonts w:hint="eastAsia" w:asciiTheme="minorEastAsia" w:hAnsiTheme="minorEastAsia" w:eastAsiaTheme="minorEastAsia"/>
              </w:rPr>
              <w:t>号：</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31000 216 192 000 85348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asciiTheme="minorEastAsia" w:hAnsiTheme="minorEastAsia" w:eastAsiaTheme="minorEastAsia"/>
              </w:rPr>
              <w:t xml:space="preserve">  </w:t>
            </w:r>
          </w:p>
          <w:p>
            <w:pPr>
              <w:spacing w:line="400" w:lineRule="exact"/>
              <w:rPr>
                <w:rFonts w:asciiTheme="minorEastAsia" w:hAnsiTheme="minorEastAsia" w:eastAsiaTheme="minorEastAsia"/>
              </w:rPr>
            </w:pPr>
            <w:r>
              <w:rPr>
                <w:rFonts w:hint="eastAsia" w:asciiTheme="minorEastAsia" w:hAnsiTheme="minorEastAsia" w:eastAsiaTheme="minorEastAsia"/>
              </w:rPr>
              <w:t>统一社会信用代码：</w:t>
            </w:r>
            <w:r>
              <w:rPr>
                <w:rFonts w:asciiTheme="minorEastAsia" w:hAnsiTheme="minorEastAsia" w:eastAsiaTheme="minorEastAsia"/>
                <w:u w:val="single"/>
              </w:rPr>
              <w:t xml:space="preserve"> </w:t>
            </w:r>
            <w:r>
              <w:rPr>
                <w:rFonts w:hint="eastAsia" w:asciiTheme="minorEastAsia" w:hAnsiTheme="minorEastAsia" w:eastAsiaTheme="minorEastAsia"/>
                <w:u w:val="single"/>
              </w:rPr>
              <w:t>915 000 00 202 815 9022</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p>
          <w:p>
            <w:pPr>
              <w:spacing w:line="400" w:lineRule="exact"/>
              <w:rPr>
                <w:rFonts w:asciiTheme="minorEastAsia" w:hAnsiTheme="minorEastAsia" w:eastAsiaTheme="minorEastAsia"/>
                <w:u w:val="single"/>
              </w:rPr>
            </w:pPr>
            <w:r>
              <w:rPr>
                <w:rFonts w:hint="eastAsia" w:asciiTheme="minorEastAsia" w:hAnsiTheme="minorEastAsia" w:eastAsiaTheme="minorEastAsia"/>
              </w:rPr>
              <w:t>委托代理人（代表）：</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p>
          <w:p>
            <w:pPr>
              <w:spacing w:line="400" w:lineRule="exact"/>
              <w:rPr>
                <w:rFonts w:asciiTheme="minorEastAsia" w:hAnsiTheme="minorEastAsia" w:eastAsiaTheme="minorEastAsia"/>
                <w:u w:val="single"/>
              </w:rPr>
            </w:pPr>
            <w:r>
              <w:rPr>
                <w:rFonts w:hint="eastAsia" w:asciiTheme="minorEastAsia" w:hAnsiTheme="minorEastAsia" w:eastAsiaTheme="minorEastAsia"/>
              </w:rPr>
              <w:t>身 份 证 号 码：</w:t>
            </w:r>
            <w:r>
              <w:rPr>
                <w:rFonts w:hint="eastAsia" w:asciiTheme="minorEastAsia" w:hAnsiTheme="minorEastAsia" w:eastAsiaTheme="minorEastAsia"/>
                <w:u w:val="single"/>
              </w:rPr>
              <w:t xml:space="preserve">                              </w:t>
            </w:r>
          </w:p>
          <w:p>
            <w:pPr>
              <w:spacing w:line="400" w:lineRule="exact"/>
              <w:rPr>
                <w:rFonts w:asciiTheme="minorEastAsia" w:hAnsiTheme="minorEastAsia" w:eastAsiaTheme="minorEastAsia"/>
                <w:u w:val="single"/>
              </w:rPr>
            </w:pPr>
            <w:r>
              <w:rPr>
                <w:rFonts w:hint="eastAsia" w:asciiTheme="minorEastAsia" w:hAnsiTheme="minorEastAsia" w:eastAsiaTheme="minorEastAsia"/>
              </w:rPr>
              <w:t>联  系  地  址：</w:t>
            </w:r>
            <w:r>
              <w:rPr>
                <w:rFonts w:hint="eastAsia" w:asciiTheme="minorEastAsia" w:hAnsiTheme="minorEastAsia" w:eastAsiaTheme="minorEastAsia"/>
                <w:u w:val="single"/>
              </w:rPr>
              <w:t xml:space="preserve">重庆市渝中区悍卫路6号临华大厦10楼      </w:t>
            </w:r>
          </w:p>
          <w:p>
            <w:pPr>
              <w:spacing w:line="400" w:lineRule="exact"/>
              <w:rPr>
                <w:rFonts w:asciiTheme="minorEastAsia" w:hAnsiTheme="minorEastAsia" w:eastAsiaTheme="minorEastAsia"/>
                <w:u w:val="single"/>
              </w:rPr>
            </w:pPr>
            <w:r>
              <w:rPr>
                <w:rFonts w:hint="eastAsia" w:asciiTheme="minorEastAsia" w:hAnsiTheme="minorEastAsia" w:eastAsiaTheme="minorEastAsia"/>
              </w:rPr>
              <w:t>联  系 电  话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p>
          <w:p>
            <w:pPr>
              <w:spacing w:line="400" w:lineRule="exact"/>
              <w:jc w:val="left"/>
              <w:rPr>
                <w:rFonts w:asciiTheme="minorEastAsia" w:hAnsiTheme="minorEastAsia" w:eastAsiaTheme="minorEastAsia"/>
                <w:u w:val="single"/>
              </w:rPr>
            </w:pPr>
            <w:r>
              <w:rPr>
                <w:rFonts w:hint="eastAsia" w:asciiTheme="minorEastAsia" w:hAnsiTheme="minorEastAsia" w:eastAsiaTheme="minorEastAsia"/>
              </w:rPr>
              <w:t>QQ\邮箱\微信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p>
          <w:p>
            <w:pPr>
              <w:spacing w:line="400" w:lineRule="exact"/>
              <w:jc w:val="center"/>
              <w:rPr>
                <w:rFonts w:asciiTheme="minorEastAsia" w:hAnsiTheme="minorEastAsia" w:eastAsiaTheme="minorEastAsia"/>
              </w:rPr>
            </w:pPr>
          </w:p>
          <w:p>
            <w:pPr>
              <w:spacing w:line="400" w:lineRule="exact"/>
              <w:jc w:val="center"/>
              <w:rPr>
                <w:rFonts w:asciiTheme="minorEastAsia" w:hAnsiTheme="minorEastAsia" w:eastAsiaTheme="minorEastAsia"/>
              </w:rPr>
            </w:pPr>
            <w:r>
              <w:rPr>
                <w:rFonts w:hint="eastAsia" w:asciiTheme="minorEastAsia" w:hAnsiTheme="minorEastAsia" w:eastAsiaTheme="minorEastAsia"/>
              </w:rPr>
              <w:t>项目（送货）信息</w:t>
            </w:r>
          </w:p>
          <w:p>
            <w:pPr>
              <w:spacing w:line="400" w:lineRule="exact"/>
              <w:jc w:val="left"/>
              <w:rPr>
                <w:rFonts w:asciiTheme="minorEastAsia" w:hAnsiTheme="minorEastAsia" w:eastAsiaTheme="minorEastAsia"/>
              </w:rPr>
            </w:pPr>
            <w:r>
              <w:rPr>
                <w:rFonts w:hint="eastAsia" w:asciiTheme="minorEastAsia" w:hAnsiTheme="minorEastAsia" w:eastAsiaTheme="minorEastAsia"/>
              </w:rPr>
              <w:t>收货单位：</w:t>
            </w:r>
            <w:r>
              <w:rPr>
                <w:rFonts w:hint="eastAsia" w:asciiTheme="minorEastAsia" w:hAnsiTheme="minorEastAsia" w:eastAsiaTheme="minorEastAsia"/>
                <w:u w:val="single"/>
              </w:rPr>
              <w:t xml:space="preserve">  华西包装（集团）有限责任公司  </w:t>
            </w:r>
          </w:p>
          <w:p>
            <w:pPr>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rPr>
              <w:t>收货地址：</w:t>
            </w:r>
            <w:r>
              <w:rPr>
                <w:rFonts w:hint="eastAsia" w:asciiTheme="minorEastAsia" w:hAnsiTheme="minorEastAsia" w:eastAsiaTheme="minorEastAsia"/>
                <w:sz w:val="18"/>
                <w:szCs w:val="18"/>
                <w:u w:val="single"/>
              </w:rPr>
              <w:t xml:space="preserve"> 重庆 市  渝中</w:t>
            </w:r>
            <w:r>
              <w:rPr>
                <w:rFonts w:asciiTheme="minorEastAsia" w:hAnsiTheme="minorEastAsia" w:eastAsiaTheme="minorEastAsia"/>
                <w:sz w:val="18"/>
                <w:szCs w:val="18"/>
                <w:u w:val="single"/>
              </w:rPr>
              <w:t xml:space="preserve"> </w:t>
            </w:r>
            <w:r>
              <w:rPr>
                <w:rFonts w:hint="eastAsia" w:asciiTheme="minorEastAsia" w:hAnsiTheme="minorEastAsia" w:eastAsiaTheme="minorEastAsia"/>
                <w:sz w:val="18"/>
                <w:szCs w:val="18"/>
                <w:u w:val="single"/>
              </w:rPr>
              <w:t>（区</w:t>
            </w:r>
            <w:r>
              <w:rPr>
                <w:rFonts w:asciiTheme="minorEastAsia" w:hAnsiTheme="minorEastAsia" w:eastAsiaTheme="minorEastAsia"/>
                <w:sz w:val="18"/>
                <w:szCs w:val="18"/>
                <w:u w:val="single"/>
              </w:rPr>
              <w:t>县</w:t>
            </w:r>
            <w:r>
              <w:rPr>
                <w:rFonts w:hint="eastAsia" w:asciiTheme="minorEastAsia" w:hAnsiTheme="minorEastAsia" w:eastAsiaTheme="minorEastAsia"/>
                <w:sz w:val="18"/>
                <w:szCs w:val="18"/>
                <w:u w:val="single"/>
              </w:rPr>
              <w:t xml:space="preserve">）      </w:t>
            </w:r>
            <w:r>
              <w:rPr>
                <w:rFonts w:asciiTheme="minorEastAsia" w:hAnsiTheme="minorEastAsia" w:eastAsiaTheme="minorEastAsia"/>
                <w:sz w:val="18"/>
                <w:szCs w:val="18"/>
                <w:u w:val="single"/>
              </w:rPr>
              <w:t xml:space="preserve">  </w:t>
            </w:r>
          </w:p>
          <w:p>
            <w:pPr>
              <w:spacing w:line="400" w:lineRule="exact"/>
              <w:jc w:val="left"/>
              <w:rPr>
                <w:rFonts w:asciiTheme="minorEastAsia" w:hAnsiTheme="minorEastAsia" w:eastAsiaTheme="minorEastAsia"/>
                <w:u w:val="single"/>
              </w:rPr>
            </w:pPr>
            <w:r>
              <w:rPr>
                <w:rFonts w:hint="eastAsia" w:asciiTheme="minorEastAsia" w:hAnsiTheme="minorEastAsia" w:eastAsiaTheme="minorEastAsia"/>
                <w:sz w:val="18"/>
                <w:szCs w:val="18"/>
                <w:u w:val="single"/>
              </w:rPr>
              <w:t xml:space="preserve">   </w:t>
            </w:r>
            <w:r>
              <w:rPr>
                <w:rFonts w:hint="eastAsia" w:asciiTheme="minorEastAsia" w:hAnsiTheme="minorEastAsia" w:eastAsiaTheme="minorEastAsia"/>
                <w:sz w:val="18"/>
                <w:szCs w:val="18"/>
                <w:u w:val="single"/>
                <w:lang w:eastAsia="zh-CN"/>
              </w:rPr>
              <w:t>鹅</w:t>
            </w:r>
            <w:r>
              <w:rPr>
                <w:rFonts w:hint="eastAsia" w:asciiTheme="minorEastAsia" w:hAnsiTheme="minorEastAsia" w:eastAsiaTheme="minorEastAsia"/>
                <w:sz w:val="18"/>
                <w:szCs w:val="18"/>
                <w:u w:val="single"/>
              </w:rPr>
              <w:t>岭正街1号华江编号34、35幢</w:t>
            </w:r>
            <w:r>
              <w:rPr>
                <w:rFonts w:asciiTheme="minorEastAsia" w:hAnsiTheme="minorEastAsia" w:eastAsiaTheme="minorEastAsia"/>
                <w:sz w:val="18"/>
                <w:szCs w:val="18"/>
                <w:u w:val="single"/>
              </w:rPr>
              <w:t xml:space="preserve"> </w:t>
            </w:r>
            <w:r>
              <w:rPr>
                <w:rFonts w:hint="eastAsia" w:asciiTheme="minorEastAsia" w:hAnsiTheme="minorEastAsia" w:eastAsiaTheme="minorEastAsia"/>
                <w:sz w:val="18"/>
                <w:szCs w:val="18"/>
                <w:u w:val="single"/>
              </w:rPr>
              <w:t>（路/号</w:t>
            </w:r>
            <w:r>
              <w:rPr>
                <w:rFonts w:hint="eastAsia" w:asciiTheme="minorEastAsia" w:hAnsiTheme="minorEastAsia" w:eastAsiaTheme="minorEastAsia"/>
                <w:sz w:val="18"/>
                <w:szCs w:val="18"/>
              </w:rPr>
              <w:t>）</w:t>
            </w:r>
          </w:p>
          <w:p>
            <w:pPr>
              <w:spacing w:line="400" w:lineRule="exact"/>
              <w:jc w:val="left"/>
              <w:rPr>
                <w:rFonts w:asciiTheme="minorEastAsia" w:hAnsiTheme="minorEastAsia" w:eastAsiaTheme="minorEastAsia"/>
              </w:rPr>
            </w:pPr>
            <w:r>
              <w:rPr>
                <w:rFonts w:hint="eastAsia" w:asciiTheme="minorEastAsia" w:hAnsiTheme="minorEastAsia" w:eastAsiaTheme="minorEastAsia"/>
              </w:rPr>
              <w:t>收 货 人：</w:t>
            </w:r>
            <w:r>
              <w:rPr>
                <w:rFonts w:hint="eastAsia" w:asciiTheme="minorEastAsia" w:hAnsiTheme="minorEastAsia" w:eastAsiaTheme="minorEastAsia"/>
                <w:u w:val="single"/>
              </w:rPr>
              <w:t xml:space="preserve">                                   </w:t>
            </w:r>
          </w:p>
          <w:p>
            <w:pPr>
              <w:spacing w:line="400" w:lineRule="exact"/>
              <w:jc w:val="left"/>
              <w:rPr>
                <w:rFonts w:asciiTheme="minorEastAsia" w:hAnsiTheme="minorEastAsia" w:eastAsiaTheme="minorEastAsia"/>
              </w:rPr>
            </w:pPr>
            <w:r>
              <w:rPr>
                <w:rFonts w:hint="eastAsia" w:asciiTheme="minorEastAsia" w:hAnsiTheme="minorEastAsia" w:eastAsiaTheme="minorEastAsia"/>
              </w:rPr>
              <w:t>联系电话：</w:t>
            </w:r>
            <w:r>
              <w:rPr>
                <w:rFonts w:hint="eastAsia" w:asciiTheme="minorEastAsia" w:hAnsiTheme="minorEastAsia" w:eastAsiaTheme="minorEastAsia"/>
                <w:u w:val="single"/>
              </w:rPr>
              <w:t xml:space="preserve">                                   </w:t>
            </w:r>
          </w:p>
        </w:tc>
        <w:tc>
          <w:tcPr>
            <w:tcW w:w="5104" w:type="dxa"/>
            <w:tcBorders>
              <w:top w:val="nil"/>
              <w:left w:val="nil"/>
              <w:bottom w:val="nil"/>
              <w:right w:val="nil"/>
            </w:tcBorders>
          </w:tcPr>
          <w:p>
            <w:pPr>
              <w:spacing w:line="400" w:lineRule="exact"/>
              <w:jc w:val="center"/>
              <w:rPr>
                <w:rFonts w:asciiTheme="minorEastAsia" w:hAnsiTheme="minorEastAsia" w:eastAsiaTheme="minorEastAsia"/>
                <w:sz w:val="28"/>
              </w:rPr>
            </w:pPr>
            <w:r>
              <w:rPr>
                <w:rFonts w:hint="eastAsia" w:asciiTheme="minorEastAsia" w:hAnsiTheme="minorEastAsia" w:eastAsiaTheme="minorEastAsia"/>
                <w:sz w:val="28"/>
              </w:rPr>
              <w:t>乙   方</w:t>
            </w:r>
            <w:r>
              <w:rPr>
                <w:rFonts w:hint="eastAsia" w:asciiTheme="minorEastAsia" w:hAnsiTheme="minorEastAsia" w:eastAsiaTheme="minorEastAsia"/>
                <w:sz w:val="24"/>
              </w:rPr>
              <w:t>（供应</w:t>
            </w:r>
            <w:r>
              <w:rPr>
                <w:rFonts w:asciiTheme="minorEastAsia" w:hAnsiTheme="minorEastAsia" w:eastAsiaTheme="minorEastAsia"/>
                <w:sz w:val="24"/>
              </w:rPr>
              <w:t>方</w:t>
            </w:r>
            <w:r>
              <w:rPr>
                <w:rFonts w:hint="eastAsia" w:asciiTheme="minorEastAsia" w:hAnsiTheme="minorEastAsia" w:eastAsiaTheme="minorEastAsia"/>
                <w:sz w:val="24"/>
              </w:rPr>
              <w:t>）</w:t>
            </w:r>
          </w:p>
          <w:p>
            <w:pPr>
              <w:spacing w:line="440" w:lineRule="atLeast"/>
              <w:rPr>
                <w:rFonts w:asciiTheme="minorEastAsia" w:hAnsiTheme="minorEastAsia" w:eastAsiaTheme="minorEastAsia"/>
                <w:spacing w:val="-12"/>
                <w:szCs w:val="21"/>
                <w:u w:val="single"/>
              </w:rPr>
            </w:pPr>
            <w:r>
              <w:rPr>
                <w:rFonts w:hint="eastAsia" w:asciiTheme="minorEastAsia" w:hAnsiTheme="minorEastAsia" w:eastAsiaTheme="minorEastAsia"/>
                <w:spacing w:val="-2"/>
                <w:szCs w:val="21"/>
              </w:rPr>
              <w:t>单位名称（盖章）：</w:t>
            </w:r>
            <w:r>
              <w:rPr>
                <w:rFonts w:hint="eastAsia" w:asciiTheme="minorEastAsia" w:hAnsiTheme="minorEastAsia" w:eastAsiaTheme="minorEastAsia"/>
                <w:szCs w:val="21"/>
                <w:u w:val="single"/>
              </w:rPr>
              <w:t xml:space="preserve">                 </w:t>
            </w:r>
          </w:p>
          <w:p>
            <w:pPr>
              <w:spacing w:line="440" w:lineRule="atLeast"/>
              <w:rPr>
                <w:rFonts w:asciiTheme="minorEastAsia" w:hAnsiTheme="minorEastAsia" w:eastAsiaTheme="minorEastAsia"/>
                <w:spacing w:val="-12"/>
                <w:szCs w:val="21"/>
                <w:u w:val="single"/>
              </w:rPr>
            </w:pPr>
            <w:r>
              <w:rPr>
                <w:rFonts w:hint="eastAsia" w:asciiTheme="minorEastAsia" w:hAnsiTheme="minorEastAsia" w:eastAsiaTheme="minorEastAsia"/>
                <w:spacing w:val="-4"/>
                <w:szCs w:val="21"/>
              </w:rPr>
              <w:t>联系地址：</w:t>
            </w:r>
            <w:r>
              <w:rPr>
                <w:rFonts w:hint="eastAsia" w:asciiTheme="minorEastAsia" w:hAnsiTheme="minorEastAsia" w:eastAsiaTheme="minorEastAsia"/>
                <w:spacing w:val="-12"/>
                <w:szCs w:val="21"/>
                <w:u w:val="single"/>
              </w:rPr>
              <w:t xml:space="preserve">                                                      </w:t>
            </w:r>
          </w:p>
          <w:p>
            <w:pPr>
              <w:spacing w:line="440" w:lineRule="atLeast"/>
              <w:rPr>
                <w:rFonts w:asciiTheme="minorEastAsia" w:hAnsiTheme="minorEastAsia" w:eastAsiaTheme="minorEastAsia"/>
                <w:u w:val="single"/>
              </w:rPr>
            </w:pPr>
            <w:r>
              <w:rPr>
                <w:rFonts w:hint="eastAsia" w:asciiTheme="minorEastAsia" w:hAnsiTheme="minorEastAsia" w:eastAsiaTheme="minorEastAsia"/>
              </w:rPr>
              <w:t>电</w:t>
            </w:r>
            <w:r>
              <w:rPr>
                <w:rFonts w:asciiTheme="minorEastAsia" w:hAnsiTheme="minorEastAsia" w:eastAsiaTheme="minorEastAsia"/>
              </w:rPr>
              <w:t xml:space="preserve">          </w:t>
            </w:r>
            <w:r>
              <w:rPr>
                <w:rFonts w:hint="eastAsia" w:asciiTheme="minorEastAsia" w:hAnsiTheme="minorEastAsia" w:eastAsiaTheme="minorEastAsia"/>
              </w:rPr>
              <w:t xml:space="preserve">话：   </w:t>
            </w:r>
            <w:r>
              <w:rPr>
                <w:rFonts w:hint="eastAsia" w:asciiTheme="minorEastAsia" w:hAnsiTheme="minorEastAsia" w:eastAsiaTheme="minorEastAsia"/>
                <w:u w:val="single"/>
              </w:rPr>
              <w:t xml:space="preserve">             </w:t>
            </w:r>
          </w:p>
          <w:p>
            <w:pPr>
              <w:spacing w:line="440" w:lineRule="atLeast"/>
              <w:rPr>
                <w:rFonts w:asciiTheme="minorEastAsia" w:hAnsiTheme="minorEastAsia" w:eastAsiaTheme="minorEastAsia"/>
              </w:rPr>
            </w:pPr>
            <w:r>
              <w:rPr>
                <w:rFonts w:hint="eastAsia" w:asciiTheme="minorEastAsia" w:hAnsiTheme="minorEastAsia" w:eastAsiaTheme="minorEastAsia"/>
              </w:rPr>
              <w:t>传</w:t>
            </w:r>
            <w:r>
              <w:rPr>
                <w:rFonts w:asciiTheme="minorEastAsia" w:hAnsiTheme="minorEastAsia" w:eastAsiaTheme="minorEastAsia"/>
              </w:rPr>
              <w:t xml:space="preserve">          </w:t>
            </w:r>
            <w:r>
              <w:rPr>
                <w:rFonts w:hint="eastAsia" w:asciiTheme="minorEastAsia" w:hAnsiTheme="minorEastAsia" w:eastAsiaTheme="minorEastAsia"/>
              </w:rPr>
              <w:t>真：</w:t>
            </w:r>
            <w:r>
              <w:rPr>
                <w:rFonts w:hint="eastAsia" w:asciiTheme="minorEastAsia" w:hAnsiTheme="minorEastAsia" w:eastAsiaTheme="minorEastAsia"/>
                <w:u w:val="single"/>
              </w:rPr>
              <w:t xml:space="preserve">               </w:t>
            </w:r>
          </w:p>
          <w:p>
            <w:pPr>
              <w:spacing w:line="440" w:lineRule="atLeast"/>
              <w:rPr>
                <w:rFonts w:asciiTheme="minorEastAsia" w:hAnsiTheme="minorEastAsia" w:eastAsiaTheme="minorEastAsia"/>
                <w:sz w:val="28"/>
              </w:rPr>
            </w:pPr>
            <w:r>
              <w:rPr>
                <w:rFonts w:hint="eastAsia" w:asciiTheme="minorEastAsia" w:hAnsiTheme="minorEastAsia" w:eastAsiaTheme="minorEastAsia"/>
              </w:rPr>
              <w:t>邮</w:t>
            </w:r>
            <w:r>
              <w:rPr>
                <w:rFonts w:asciiTheme="minorEastAsia" w:hAnsiTheme="minorEastAsia" w:eastAsiaTheme="minorEastAsia"/>
              </w:rPr>
              <w:t xml:space="preserve">          </w:t>
            </w:r>
            <w:r>
              <w:rPr>
                <w:rFonts w:hint="eastAsia" w:asciiTheme="minorEastAsia" w:hAnsiTheme="minorEastAsia" w:eastAsiaTheme="minorEastAsia"/>
              </w:rPr>
              <w:t>编：</w:t>
            </w:r>
            <w:r>
              <w:rPr>
                <w:rFonts w:hint="eastAsia" w:asciiTheme="minorEastAsia" w:hAnsiTheme="minorEastAsia" w:eastAsiaTheme="minorEastAsia"/>
                <w:u w:val="single"/>
              </w:rPr>
              <w:t xml:space="preserve">                        </w:t>
            </w:r>
          </w:p>
          <w:p>
            <w:pPr>
              <w:spacing w:line="440" w:lineRule="atLeast"/>
              <w:rPr>
                <w:rFonts w:asciiTheme="minorEastAsia" w:hAnsiTheme="minorEastAsia" w:eastAsiaTheme="minorEastAsia"/>
                <w:sz w:val="28"/>
              </w:rPr>
            </w:pPr>
            <w:r>
              <w:rPr>
                <w:rFonts w:hint="eastAsia" w:asciiTheme="minorEastAsia" w:hAnsiTheme="minorEastAsia" w:eastAsiaTheme="minorEastAsia"/>
              </w:rPr>
              <w:t>开</w:t>
            </w:r>
            <w:r>
              <w:rPr>
                <w:rFonts w:asciiTheme="minorEastAsia" w:hAnsiTheme="minorEastAsia" w:eastAsiaTheme="minorEastAsia"/>
              </w:rPr>
              <w:t xml:space="preserve">  </w:t>
            </w:r>
            <w:r>
              <w:rPr>
                <w:rFonts w:hint="eastAsia" w:asciiTheme="minorEastAsia" w:hAnsiTheme="minorEastAsia" w:eastAsiaTheme="minorEastAsia"/>
              </w:rPr>
              <w:t>户</w:t>
            </w:r>
            <w:r>
              <w:rPr>
                <w:rFonts w:asciiTheme="minorEastAsia" w:hAnsiTheme="minorEastAsia" w:eastAsiaTheme="minorEastAsia"/>
              </w:rPr>
              <w:t xml:space="preserve">  </w:t>
            </w:r>
            <w:r>
              <w:rPr>
                <w:rFonts w:hint="eastAsia" w:asciiTheme="minorEastAsia" w:hAnsiTheme="minorEastAsia" w:eastAsiaTheme="minorEastAsia"/>
              </w:rPr>
              <w:t>银</w:t>
            </w:r>
            <w:r>
              <w:rPr>
                <w:rFonts w:asciiTheme="minorEastAsia" w:hAnsiTheme="minorEastAsia" w:eastAsiaTheme="minorEastAsia"/>
              </w:rPr>
              <w:t xml:space="preserve">  </w:t>
            </w:r>
            <w:r>
              <w:rPr>
                <w:rFonts w:hint="eastAsia" w:asciiTheme="minorEastAsia" w:hAnsiTheme="minorEastAsia" w:eastAsiaTheme="minorEastAsia"/>
              </w:rPr>
              <w:t>行：</w:t>
            </w:r>
            <w:r>
              <w:rPr>
                <w:rFonts w:hint="eastAsia" w:asciiTheme="minorEastAsia" w:hAnsiTheme="minorEastAsia" w:eastAsiaTheme="minorEastAsia"/>
                <w:u w:val="single"/>
              </w:rPr>
              <w:t xml:space="preserve">                     </w:t>
            </w:r>
          </w:p>
          <w:p>
            <w:pPr>
              <w:spacing w:line="440" w:lineRule="atLeast"/>
              <w:rPr>
                <w:rFonts w:asciiTheme="minorEastAsia" w:hAnsiTheme="minorEastAsia" w:eastAsiaTheme="minorEastAsia"/>
              </w:rPr>
            </w:pPr>
            <w:r>
              <w:rPr>
                <w:rFonts w:hint="eastAsia" w:asciiTheme="minorEastAsia" w:hAnsiTheme="minorEastAsia" w:eastAsiaTheme="minorEastAsia"/>
              </w:rPr>
              <w:t>账</w:t>
            </w:r>
            <w:r>
              <w:rPr>
                <w:rFonts w:asciiTheme="minorEastAsia" w:hAnsiTheme="minorEastAsia" w:eastAsiaTheme="minorEastAsia"/>
              </w:rPr>
              <w:t xml:space="preserve">          </w:t>
            </w:r>
            <w:r>
              <w:rPr>
                <w:rFonts w:hint="eastAsia" w:asciiTheme="minorEastAsia" w:hAnsiTheme="minorEastAsia" w:eastAsiaTheme="minorEastAsia"/>
              </w:rPr>
              <w:t>号：</w:t>
            </w:r>
            <w:r>
              <w:rPr>
                <w:rFonts w:hint="eastAsia" w:asciiTheme="minorEastAsia" w:hAnsiTheme="minorEastAsia" w:eastAsiaTheme="minorEastAsia"/>
                <w:u w:val="single"/>
              </w:rPr>
              <w:t xml:space="preserve">                      </w:t>
            </w:r>
          </w:p>
          <w:p>
            <w:pPr>
              <w:spacing w:line="440" w:lineRule="atLeast"/>
              <w:rPr>
                <w:rFonts w:asciiTheme="minorEastAsia" w:hAnsiTheme="minorEastAsia" w:eastAsiaTheme="minorEastAsia"/>
                <w:sz w:val="28"/>
              </w:rPr>
            </w:pPr>
            <w:r>
              <w:rPr>
                <w:rFonts w:hint="eastAsia" w:asciiTheme="minorEastAsia" w:hAnsiTheme="minorEastAsia" w:eastAsiaTheme="minorEastAsia"/>
              </w:rPr>
              <w:t>统一社会信用代码：</w:t>
            </w:r>
            <w:r>
              <w:rPr>
                <w:rFonts w:hint="eastAsia" w:asciiTheme="minorEastAsia" w:hAnsiTheme="minorEastAsia" w:eastAsiaTheme="minorEastAsia"/>
                <w:u w:val="single"/>
              </w:rPr>
              <w:t xml:space="preserve">                      </w:t>
            </w:r>
          </w:p>
          <w:p>
            <w:pPr>
              <w:spacing w:line="440" w:lineRule="atLeast"/>
              <w:rPr>
                <w:rFonts w:asciiTheme="minorEastAsia" w:hAnsiTheme="minorEastAsia" w:eastAsiaTheme="minorEastAsia"/>
                <w:sz w:val="28"/>
              </w:rPr>
            </w:pPr>
            <w:r>
              <w:rPr>
                <w:rFonts w:hint="eastAsia" w:asciiTheme="minorEastAsia" w:hAnsiTheme="minorEastAsia" w:eastAsiaTheme="minorEastAsia"/>
              </w:rPr>
              <w:t>委 托 代 理 人：</w:t>
            </w:r>
            <w:r>
              <w:rPr>
                <w:rFonts w:asciiTheme="minorEastAsia" w:hAnsiTheme="minorEastAsia" w:eastAsiaTheme="minorEastAsia"/>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rPr>
              <w:t xml:space="preserve"> </w:t>
            </w:r>
          </w:p>
          <w:p>
            <w:pPr>
              <w:spacing w:line="440" w:lineRule="atLeast"/>
              <w:rPr>
                <w:rFonts w:asciiTheme="minorEastAsia" w:hAnsiTheme="minorEastAsia" w:eastAsiaTheme="minorEastAsia"/>
                <w:u w:val="single"/>
              </w:rPr>
            </w:pPr>
            <w:r>
              <w:rPr>
                <w:rFonts w:hint="eastAsia" w:asciiTheme="minorEastAsia" w:hAnsiTheme="minorEastAsia" w:eastAsiaTheme="minorEastAsia"/>
              </w:rPr>
              <w:t xml:space="preserve">身 份 证 号 码： </w:t>
            </w:r>
            <w:r>
              <w:rPr>
                <w:rFonts w:hint="eastAsia" w:asciiTheme="minorEastAsia" w:hAnsiTheme="minorEastAsia" w:eastAsiaTheme="minorEastAsia"/>
                <w:u w:val="single"/>
              </w:rPr>
              <w:t xml:space="preserve">                         </w:t>
            </w:r>
          </w:p>
          <w:p>
            <w:pPr>
              <w:spacing w:line="440" w:lineRule="atLeast"/>
              <w:rPr>
                <w:rFonts w:asciiTheme="minorEastAsia" w:hAnsiTheme="minorEastAsia" w:eastAsiaTheme="minorEastAsia"/>
                <w:u w:val="single"/>
              </w:rPr>
            </w:pPr>
            <w:r>
              <w:rPr>
                <w:rFonts w:hint="eastAsia" w:asciiTheme="minorEastAsia" w:hAnsiTheme="minorEastAsia" w:eastAsiaTheme="minorEastAsia"/>
              </w:rPr>
              <w:t xml:space="preserve">联  系  地  址：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p>
          <w:p>
            <w:pPr>
              <w:spacing w:line="440" w:lineRule="atLeast"/>
              <w:rPr>
                <w:rFonts w:asciiTheme="minorEastAsia" w:hAnsiTheme="minorEastAsia" w:eastAsiaTheme="minorEastAsia"/>
                <w:u w:val="single"/>
              </w:rPr>
            </w:pPr>
            <w:r>
              <w:rPr>
                <w:rFonts w:hint="eastAsia" w:asciiTheme="minorEastAsia" w:hAnsiTheme="minorEastAsia" w:eastAsiaTheme="minorEastAsia"/>
              </w:rPr>
              <w:t xml:space="preserve">联  系 电  话 ：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rPr>
              <w:t xml:space="preserve"> </w:t>
            </w:r>
          </w:p>
          <w:p>
            <w:pPr>
              <w:spacing w:line="400" w:lineRule="exact"/>
              <w:rPr>
                <w:rFonts w:asciiTheme="minorEastAsia" w:hAnsiTheme="minorEastAsia" w:eastAsiaTheme="minorEastAsia"/>
              </w:rPr>
            </w:pPr>
            <w:r>
              <w:rPr>
                <w:rFonts w:hint="eastAsia" w:asciiTheme="minorEastAsia" w:hAnsiTheme="minorEastAsia" w:eastAsiaTheme="minorEastAsia"/>
              </w:rPr>
              <w:t>QQ\邮箱\微信  ：</w:t>
            </w:r>
            <w:r>
              <w:rPr>
                <w:rFonts w:asciiTheme="minorEastAsia" w:hAnsiTheme="minorEastAsia" w:eastAsiaTheme="minorEastAsia"/>
              </w:rPr>
              <w:t xml:space="preserve"> </w:t>
            </w:r>
            <w:r>
              <w:rPr>
                <w:rFonts w:hint="eastAsia" w:asciiTheme="minorEastAsia" w:hAnsiTheme="minorEastAsia" w:eastAsiaTheme="minorEastAsia"/>
                <w:u w:val="single"/>
              </w:rPr>
              <w:t xml:space="preserve">                       </w:t>
            </w:r>
          </w:p>
          <w:p>
            <w:pPr>
              <w:spacing w:line="400" w:lineRule="exact"/>
              <w:jc w:val="center"/>
              <w:rPr>
                <w:rFonts w:asciiTheme="minorEastAsia" w:hAnsiTheme="minorEastAsia" w:eastAsiaTheme="minorEastAsia"/>
              </w:rPr>
            </w:pPr>
            <w:r>
              <w:rPr>
                <w:rFonts w:hint="eastAsia" w:asciiTheme="minorEastAsia" w:hAnsiTheme="minorEastAsia" w:eastAsiaTheme="minorEastAsia"/>
              </w:rPr>
              <w:t>最终用户</w:t>
            </w:r>
          </w:p>
          <w:p>
            <w:pPr>
              <w:spacing w:line="400" w:lineRule="exact"/>
              <w:rPr>
                <w:rFonts w:asciiTheme="minorEastAsia" w:hAnsiTheme="minorEastAsia" w:eastAsiaTheme="minorEastAsia"/>
              </w:rPr>
            </w:pPr>
            <w:r>
              <w:rPr>
                <w:rFonts w:hint="eastAsia" w:asciiTheme="minorEastAsia" w:hAnsiTheme="minorEastAsia" w:eastAsiaTheme="minorEastAsia"/>
              </w:rPr>
              <w:t>单位名称：</w:t>
            </w:r>
            <w:r>
              <w:rPr>
                <w:rFonts w:hint="eastAsia" w:asciiTheme="minorEastAsia" w:hAnsiTheme="minorEastAsia" w:eastAsiaTheme="minorEastAsia"/>
                <w:u w:val="single"/>
              </w:rPr>
              <w:t xml:space="preserve"> 华西包装（集团）有限责任公司       </w:t>
            </w:r>
          </w:p>
          <w:p>
            <w:pPr>
              <w:spacing w:line="400" w:lineRule="exact"/>
              <w:rPr>
                <w:rFonts w:asciiTheme="minorEastAsia" w:hAnsiTheme="minorEastAsia" w:eastAsiaTheme="minorEastAsia"/>
                <w:u w:val="single"/>
              </w:rPr>
            </w:pPr>
            <w:r>
              <w:rPr>
                <w:rFonts w:hint="eastAsia" w:asciiTheme="minorEastAsia" w:hAnsiTheme="minorEastAsia" w:eastAsiaTheme="minorEastAsia"/>
              </w:rPr>
              <w:t>单位地址：</w:t>
            </w:r>
            <w:r>
              <w:rPr>
                <w:rFonts w:hint="eastAsia" w:asciiTheme="minorEastAsia" w:hAnsiTheme="minorEastAsia" w:eastAsiaTheme="minorEastAsia"/>
                <w:u w:val="single"/>
              </w:rPr>
              <w:t xml:space="preserve"> 重庆市渝中区悍卫路6号临华大厦10楼   </w:t>
            </w:r>
          </w:p>
          <w:p>
            <w:pPr>
              <w:spacing w:line="400" w:lineRule="exact"/>
              <w:rPr>
                <w:rFonts w:asciiTheme="minorEastAsia" w:hAnsiTheme="minorEastAsia" w:eastAsiaTheme="minorEastAsia"/>
              </w:rPr>
            </w:pPr>
            <w:r>
              <w:rPr>
                <w:rFonts w:hint="eastAsia" w:asciiTheme="minorEastAsia" w:hAnsiTheme="minorEastAsia" w:eastAsiaTheme="minorEastAsia"/>
              </w:rPr>
              <w:t>联 系 人：</w:t>
            </w:r>
            <w:r>
              <w:rPr>
                <w:rFonts w:hint="eastAsia" w:asciiTheme="minorEastAsia" w:hAnsiTheme="minorEastAsia" w:eastAsiaTheme="minorEastAsia"/>
                <w:u w:val="single"/>
              </w:rPr>
              <w:t xml:space="preserve">      肖夏                               </w:t>
            </w:r>
          </w:p>
          <w:p>
            <w:pPr>
              <w:spacing w:line="400" w:lineRule="exact"/>
              <w:rPr>
                <w:rFonts w:asciiTheme="minorEastAsia" w:hAnsiTheme="minorEastAsia" w:eastAsiaTheme="minorEastAsia"/>
                <w:u w:val="single"/>
              </w:rPr>
            </w:pPr>
            <w:r>
              <w:rPr>
                <w:rFonts w:hint="eastAsia" w:asciiTheme="minorEastAsia" w:hAnsiTheme="minorEastAsia" w:eastAsiaTheme="minorEastAsia"/>
              </w:rPr>
              <w:t>联系电话：</w:t>
            </w:r>
            <w:r>
              <w:rPr>
                <w:rFonts w:hint="eastAsia" w:asciiTheme="minorEastAsia" w:hAnsiTheme="minorEastAsia" w:eastAsiaTheme="minorEastAsia"/>
                <w:u w:val="single"/>
              </w:rPr>
              <w:t xml:space="preserve">     17388205719　　　                    </w:t>
            </w:r>
          </w:p>
        </w:tc>
      </w:tr>
    </w:tbl>
    <w:p>
      <w:pPr>
        <w:spacing w:line="400" w:lineRule="exact"/>
        <w:ind w:firstLine="480" w:firstLineChars="200"/>
        <w:rPr>
          <w:rFonts w:asciiTheme="minorEastAsia" w:hAnsiTheme="minorEastAsia" w:eastAsiaTheme="minorEastAsia"/>
          <w:b/>
          <w:color w:val="FF0000"/>
          <w:sz w:val="26"/>
          <w:szCs w:val="26"/>
        </w:rPr>
      </w:pPr>
      <w:r>
        <w:rPr>
          <w:rFonts w:asciiTheme="minorEastAsia" w:hAnsiTheme="minorEastAsia" w:eastAsiaTheme="minorEastAsia"/>
          <w:sz w:val="24"/>
        </w:rPr>
        <w:br w:type="page"/>
      </w:r>
      <w:r>
        <w:rPr>
          <w:rFonts w:hint="eastAsia" w:asciiTheme="minorEastAsia" w:hAnsiTheme="minorEastAsia" w:eastAsiaTheme="minorEastAsia"/>
          <w:sz w:val="24"/>
        </w:rPr>
        <w:t>甲、乙双方在平等、自愿、协商一致,公平、诚信的基础上，经友好协商，就乙方向甲方销售电梯设备事宜签订合同如下：</w:t>
      </w:r>
    </w:p>
    <w:p>
      <w:pPr>
        <w:spacing w:line="400" w:lineRule="exact"/>
        <w:ind w:firstLine="482" w:firstLineChars="200"/>
        <w:rPr>
          <w:rFonts w:ascii="宋体" w:hAnsi="宋体"/>
          <w:b/>
          <w:sz w:val="24"/>
          <w:szCs w:val="24"/>
        </w:rPr>
      </w:pPr>
      <w:r>
        <w:rPr>
          <w:rFonts w:hint="eastAsia" w:ascii="宋体" w:hAnsi="宋体"/>
          <w:b/>
          <w:sz w:val="24"/>
          <w:szCs w:val="24"/>
        </w:rPr>
        <w:t>1、标的设备、配置等（详见附件一</w:t>
      </w:r>
      <w:r>
        <w:rPr>
          <w:rFonts w:hint="eastAsia" w:ascii="宋体" w:hAnsi="宋体"/>
          <w:b/>
          <w:sz w:val="24"/>
          <w:szCs w:val="24"/>
          <w:lang w:eastAsia="zh-CN"/>
        </w:rPr>
        <w:t>、</w:t>
      </w:r>
      <w:r>
        <w:rPr>
          <w:rFonts w:hint="eastAsia" w:ascii="宋体" w:hAnsi="宋体"/>
          <w:b/>
          <w:sz w:val="24"/>
          <w:szCs w:val="24"/>
          <w:lang w:val="en-US" w:eastAsia="zh-CN"/>
        </w:rPr>
        <w:t>附件二、附件三）</w:t>
      </w:r>
    </w:p>
    <w:p>
      <w:pPr>
        <w:spacing w:line="400" w:lineRule="exact"/>
        <w:ind w:firstLine="482" w:firstLineChars="200"/>
        <w:rPr>
          <w:rFonts w:ascii="宋体" w:hAnsi="宋体"/>
          <w:b/>
          <w:sz w:val="24"/>
          <w:szCs w:val="24"/>
        </w:rPr>
      </w:pPr>
      <w:r>
        <w:rPr>
          <w:rFonts w:hint="eastAsia" w:ascii="宋体" w:hAnsi="宋体"/>
          <w:b/>
          <w:sz w:val="24"/>
          <w:szCs w:val="24"/>
        </w:rPr>
        <w:t>2、合同总金额（¥   万）：</w:t>
      </w:r>
    </w:p>
    <w:p>
      <w:pPr>
        <w:spacing w:line="4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2.1 标的设备金额</w:t>
      </w:r>
    </w:p>
    <w:tbl>
      <w:tblPr>
        <w:tblStyle w:val="10"/>
        <w:tblW w:w="1000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4"/>
        <w:gridCol w:w="1086"/>
        <w:gridCol w:w="850"/>
        <w:gridCol w:w="1134"/>
        <w:gridCol w:w="851"/>
        <w:gridCol w:w="850"/>
        <w:gridCol w:w="1152"/>
        <w:gridCol w:w="750"/>
        <w:gridCol w:w="1276"/>
        <w:gridCol w:w="127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784" w:type="dxa"/>
            <w:vAlign w:val="center"/>
          </w:tcPr>
          <w:p>
            <w:pPr>
              <w:jc w:val="center"/>
              <w:rPr>
                <w:rFonts w:asciiTheme="minorEastAsia" w:hAnsiTheme="minorEastAsia" w:eastAsiaTheme="minorEastAsia"/>
              </w:rPr>
            </w:pPr>
            <w:r>
              <w:rPr>
                <w:rFonts w:hint="eastAsia" w:asciiTheme="minorEastAsia" w:hAnsiTheme="minorEastAsia" w:eastAsiaTheme="minorEastAsia"/>
              </w:rPr>
              <w:t>梯号</w:t>
            </w:r>
          </w:p>
        </w:tc>
        <w:tc>
          <w:tcPr>
            <w:tcW w:w="1086" w:type="dxa"/>
            <w:vAlign w:val="center"/>
          </w:tcPr>
          <w:p>
            <w:pPr>
              <w:jc w:val="center"/>
              <w:rPr>
                <w:rFonts w:asciiTheme="minorEastAsia" w:hAnsiTheme="minorEastAsia" w:eastAsiaTheme="minorEastAsia"/>
              </w:rPr>
            </w:pPr>
            <w:r>
              <w:rPr>
                <w:rFonts w:hint="eastAsia" w:asciiTheme="minorEastAsia" w:hAnsiTheme="minorEastAsia" w:eastAsiaTheme="minorEastAsia"/>
              </w:rPr>
              <w:t>品名</w:t>
            </w:r>
          </w:p>
        </w:tc>
        <w:tc>
          <w:tcPr>
            <w:tcW w:w="850" w:type="dxa"/>
            <w:vAlign w:val="center"/>
          </w:tcPr>
          <w:p>
            <w:pPr>
              <w:jc w:val="center"/>
              <w:rPr>
                <w:rFonts w:asciiTheme="minorEastAsia" w:hAnsiTheme="minorEastAsia" w:eastAsiaTheme="minorEastAsia"/>
              </w:rPr>
            </w:pPr>
            <w:r>
              <w:rPr>
                <w:rFonts w:hint="eastAsia" w:asciiTheme="minorEastAsia" w:hAnsiTheme="minorEastAsia" w:eastAsiaTheme="minorEastAsia"/>
              </w:rPr>
              <w:t>品牌/系列</w:t>
            </w:r>
          </w:p>
        </w:tc>
        <w:tc>
          <w:tcPr>
            <w:tcW w:w="1134" w:type="dxa"/>
            <w:tcBorders>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规格型号</w:t>
            </w:r>
          </w:p>
        </w:tc>
        <w:tc>
          <w:tcPr>
            <w:tcW w:w="851" w:type="dxa"/>
            <w:tcBorders>
              <w:left w:val="single" w:color="auto" w:sz="4" w:space="0"/>
              <w:right w:val="single" w:color="auto" w:sz="4" w:space="0"/>
            </w:tcBorders>
            <w:vAlign w:val="center"/>
          </w:tcPr>
          <w:p>
            <w:pPr>
              <w:jc w:val="center"/>
            </w:pPr>
            <w:r>
              <w:rPr>
                <w:rFonts w:hint="eastAsia"/>
              </w:rPr>
              <w:t>载重</w:t>
            </w:r>
          </w:p>
          <w:p>
            <w:pPr>
              <w:jc w:val="center"/>
            </w:pPr>
            <w:r>
              <w:rPr>
                <w:rFonts w:hint="eastAsia"/>
              </w:rPr>
              <w:t>（kg）</w:t>
            </w:r>
          </w:p>
        </w:tc>
        <w:tc>
          <w:tcPr>
            <w:tcW w:w="850" w:type="dxa"/>
            <w:tcBorders>
              <w:left w:val="single" w:color="auto" w:sz="4" w:space="0"/>
            </w:tcBorders>
            <w:vAlign w:val="center"/>
          </w:tcPr>
          <w:p>
            <w:pPr>
              <w:jc w:val="center"/>
            </w:pPr>
            <w:r>
              <w:rPr>
                <w:rFonts w:hint="eastAsia"/>
              </w:rPr>
              <w:t>速度</w:t>
            </w:r>
          </w:p>
          <w:p>
            <w:pPr>
              <w:jc w:val="center"/>
            </w:pPr>
            <w:r>
              <w:rPr>
                <w:rFonts w:hint="eastAsia"/>
              </w:rPr>
              <w:t>（m/s）</w:t>
            </w:r>
          </w:p>
        </w:tc>
        <w:tc>
          <w:tcPr>
            <w:tcW w:w="1152" w:type="dxa"/>
            <w:vAlign w:val="center"/>
          </w:tcPr>
          <w:p>
            <w:pPr>
              <w:jc w:val="center"/>
              <w:rPr>
                <w:rFonts w:asciiTheme="minorEastAsia" w:hAnsiTheme="minorEastAsia" w:eastAsiaTheme="minorEastAsia"/>
              </w:rPr>
            </w:pPr>
            <w:r>
              <w:rPr>
                <w:rFonts w:hint="eastAsia" w:asciiTheme="minorEastAsia" w:hAnsiTheme="minorEastAsia" w:eastAsiaTheme="minorEastAsia"/>
              </w:rPr>
              <w:t>层/站/门</w:t>
            </w:r>
          </w:p>
        </w:tc>
        <w:tc>
          <w:tcPr>
            <w:tcW w:w="750" w:type="dxa"/>
            <w:vAlign w:val="center"/>
          </w:tcPr>
          <w:p>
            <w:pPr>
              <w:jc w:val="center"/>
              <w:rPr>
                <w:rFonts w:asciiTheme="minorEastAsia" w:hAnsiTheme="minorEastAsia" w:eastAsiaTheme="minorEastAsia"/>
              </w:rPr>
            </w:pPr>
            <w:r>
              <w:rPr>
                <w:rFonts w:hint="eastAsia" w:asciiTheme="minorEastAsia" w:hAnsiTheme="minorEastAsia" w:eastAsiaTheme="minorEastAsia"/>
              </w:rPr>
              <w:t>数量</w:t>
            </w:r>
          </w:p>
          <w:p>
            <w:pPr>
              <w:jc w:val="center"/>
              <w:rPr>
                <w:rFonts w:asciiTheme="minorEastAsia" w:hAnsiTheme="minorEastAsia" w:eastAsiaTheme="minorEastAsia"/>
              </w:rPr>
            </w:pPr>
            <w:r>
              <w:rPr>
                <w:rFonts w:hint="eastAsia" w:asciiTheme="minorEastAsia" w:hAnsiTheme="minorEastAsia" w:eastAsiaTheme="minorEastAsia"/>
              </w:rPr>
              <w:t>(台)</w:t>
            </w:r>
          </w:p>
        </w:tc>
        <w:tc>
          <w:tcPr>
            <w:tcW w:w="1276" w:type="dxa"/>
            <w:vAlign w:val="center"/>
          </w:tcPr>
          <w:p>
            <w:pPr>
              <w:jc w:val="center"/>
              <w:rPr>
                <w:rFonts w:asciiTheme="minorEastAsia" w:hAnsiTheme="minorEastAsia" w:eastAsiaTheme="minorEastAsia"/>
              </w:rPr>
            </w:pPr>
            <w:r>
              <w:rPr>
                <w:rFonts w:hint="eastAsia" w:asciiTheme="minorEastAsia" w:hAnsiTheme="minorEastAsia" w:eastAsiaTheme="minorEastAsia"/>
              </w:rPr>
              <w:t>设备单价</w:t>
            </w:r>
          </w:p>
          <w:p>
            <w:pPr>
              <w:jc w:val="center"/>
              <w:rPr>
                <w:rFonts w:asciiTheme="minorEastAsia" w:hAnsiTheme="minorEastAsia" w:eastAsiaTheme="minorEastAsia"/>
              </w:rPr>
            </w:pPr>
            <w:r>
              <w:rPr>
                <w:rFonts w:hint="eastAsia" w:asciiTheme="minorEastAsia" w:hAnsiTheme="minorEastAsia" w:eastAsiaTheme="minorEastAsia"/>
              </w:rPr>
              <w:t>(万元/台)</w:t>
            </w:r>
          </w:p>
        </w:tc>
        <w:tc>
          <w:tcPr>
            <w:tcW w:w="1276" w:type="dxa"/>
            <w:vAlign w:val="center"/>
          </w:tcPr>
          <w:p>
            <w:pPr>
              <w:jc w:val="center"/>
              <w:rPr>
                <w:rFonts w:asciiTheme="minorEastAsia" w:hAnsiTheme="minorEastAsia" w:eastAsiaTheme="minorEastAsia"/>
              </w:rPr>
            </w:pPr>
            <w:r>
              <w:rPr>
                <w:rFonts w:hint="eastAsia" w:asciiTheme="minorEastAsia" w:hAnsiTheme="minorEastAsia" w:eastAsiaTheme="minorEastAsia"/>
              </w:rPr>
              <w:t>设备总价</w:t>
            </w:r>
          </w:p>
          <w:p>
            <w:pPr>
              <w:jc w:val="center"/>
              <w:rPr>
                <w:rFonts w:asciiTheme="minorEastAsia" w:hAnsiTheme="minorEastAsia" w:eastAsiaTheme="minorEastAsia"/>
              </w:rPr>
            </w:pPr>
            <w:r>
              <w:rPr>
                <w:rFonts w:hint="eastAsia" w:asciiTheme="minorEastAsia" w:hAnsiTheme="minorEastAsia" w:eastAsiaTheme="minorEastAsia"/>
              </w:rPr>
              <w:t>(万元)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784" w:type="dxa"/>
            <w:vAlign w:val="center"/>
          </w:tcPr>
          <w:p>
            <w:pPr>
              <w:jc w:val="center"/>
              <w:rPr>
                <w:rFonts w:asciiTheme="minorEastAsia" w:hAnsiTheme="minorEastAsia" w:eastAsiaTheme="minorEastAsia"/>
              </w:rPr>
            </w:pPr>
            <w:r>
              <w:rPr>
                <w:rFonts w:hint="eastAsia" w:asciiTheme="minorEastAsia" w:hAnsiTheme="minorEastAsia" w:eastAsiaTheme="minorEastAsia"/>
              </w:rPr>
              <w:t>L1</w:t>
            </w:r>
          </w:p>
        </w:tc>
        <w:tc>
          <w:tcPr>
            <w:tcW w:w="1086" w:type="dxa"/>
            <w:vAlign w:val="center"/>
          </w:tcPr>
          <w:p>
            <w:pPr>
              <w:jc w:val="center"/>
              <w:rPr>
                <w:rFonts w:asciiTheme="minorEastAsia" w:hAnsiTheme="minorEastAsia" w:eastAsiaTheme="minorEastAsia"/>
              </w:rPr>
            </w:pPr>
            <w:r>
              <w:rPr>
                <w:rFonts w:hint="eastAsia" w:asciiTheme="minorEastAsia" w:hAnsiTheme="minorEastAsia" w:eastAsiaTheme="minorEastAsia"/>
              </w:rPr>
              <w:t>乘客电梯</w:t>
            </w:r>
          </w:p>
        </w:tc>
        <w:tc>
          <w:tcPr>
            <w:tcW w:w="850" w:type="dxa"/>
            <w:vAlign w:val="center"/>
          </w:tcPr>
          <w:p>
            <w:pPr>
              <w:jc w:val="center"/>
              <w:rPr>
                <w:rFonts w:asciiTheme="minorEastAsia" w:hAnsiTheme="minorEastAsia" w:eastAsiaTheme="minorEastAsia"/>
              </w:rPr>
            </w:pPr>
          </w:p>
        </w:tc>
        <w:tc>
          <w:tcPr>
            <w:tcW w:w="1134" w:type="dxa"/>
            <w:tcBorders>
              <w:right w:val="single" w:color="auto" w:sz="4" w:space="0"/>
            </w:tcBorders>
            <w:vAlign w:val="center"/>
          </w:tcPr>
          <w:p>
            <w:pPr>
              <w:jc w:val="center"/>
              <w:rPr>
                <w:rFonts w:asciiTheme="minorEastAsia" w:hAnsiTheme="minorEastAsia" w:eastAsiaTheme="minorEastAsia"/>
              </w:rPr>
            </w:pPr>
          </w:p>
        </w:tc>
        <w:tc>
          <w:tcPr>
            <w:tcW w:w="851" w:type="dxa"/>
            <w:tcBorders>
              <w:left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1000</w:t>
            </w:r>
          </w:p>
        </w:tc>
        <w:tc>
          <w:tcPr>
            <w:tcW w:w="850" w:type="dxa"/>
            <w:tcBorders>
              <w:lef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1.0</w:t>
            </w:r>
          </w:p>
        </w:tc>
        <w:tc>
          <w:tcPr>
            <w:tcW w:w="1152" w:type="dxa"/>
            <w:vAlign w:val="center"/>
          </w:tcPr>
          <w:p>
            <w:pPr>
              <w:jc w:val="center"/>
              <w:rPr>
                <w:rFonts w:asciiTheme="minorEastAsia" w:hAnsiTheme="minorEastAsia" w:eastAsiaTheme="minorEastAsia"/>
              </w:rPr>
            </w:pPr>
            <w:r>
              <w:rPr>
                <w:rFonts w:hint="eastAsia"/>
              </w:rPr>
              <w:t>3/3/3</w:t>
            </w:r>
          </w:p>
        </w:tc>
        <w:tc>
          <w:tcPr>
            <w:tcW w:w="750" w:type="dxa"/>
            <w:vAlign w:val="center"/>
          </w:tcPr>
          <w:p>
            <w:pPr>
              <w:jc w:val="center"/>
              <w:rPr>
                <w:rFonts w:asciiTheme="minorEastAsia" w:hAnsiTheme="minorEastAsia" w:eastAsiaTheme="minorEastAsia"/>
              </w:rPr>
            </w:pPr>
            <w:r>
              <w:rPr>
                <w:rFonts w:hint="eastAsia"/>
              </w:rPr>
              <w:t>1</w:t>
            </w:r>
          </w:p>
        </w:tc>
        <w:tc>
          <w:tcPr>
            <w:tcW w:w="1276" w:type="dxa"/>
            <w:vAlign w:val="center"/>
          </w:tcPr>
          <w:p>
            <w:pPr>
              <w:jc w:val="center"/>
              <w:rPr>
                <w:rFonts w:asciiTheme="minorEastAsia" w:hAnsiTheme="minorEastAsia" w:eastAsiaTheme="minorEastAsia"/>
              </w:rPr>
            </w:pPr>
          </w:p>
        </w:tc>
        <w:tc>
          <w:tcPr>
            <w:tcW w:w="1276" w:type="dxa"/>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8733" w:type="dxa"/>
            <w:gridSpan w:val="9"/>
            <w:vAlign w:val="center"/>
          </w:tcPr>
          <w:p>
            <w:pPr>
              <w:jc w:val="left"/>
              <w:rPr>
                <w:rFonts w:asciiTheme="minorEastAsia" w:hAnsiTheme="minorEastAsia" w:eastAsiaTheme="minorEastAsia"/>
              </w:rPr>
            </w:pPr>
            <w:r>
              <w:rPr>
                <w:rFonts w:hint="eastAsia" w:asciiTheme="minorEastAsia" w:hAnsiTheme="minorEastAsia" w:eastAsiaTheme="minorEastAsia"/>
              </w:rPr>
              <w:t>合计（大写人民币）：</w:t>
            </w:r>
            <w:r>
              <w:rPr>
                <w:rFonts w:asciiTheme="minorEastAsia" w:hAnsiTheme="minorEastAsia" w:eastAsiaTheme="minorEastAsia"/>
              </w:rPr>
              <w:t xml:space="preserve"> </w:t>
            </w:r>
          </w:p>
        </w:tc>
        <w:tc>
          <w:tcPr>
            <w:tcW w:w="1276" w:type="dxa"/>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09" w:type="dxa"/>
            <w:gridSpan w:val="10"/>
          </w:tcPr>
          <w:p>
            <w:pPr>
              <w:ind w:left="630" w:hanging="630" w:hangingChars="300"/>
              <w:rPr>
                <w:rFonts w:asciiTheme="minorEastAsia" w:hAnsiTheme="minorEastAsia" w:eastAsiaTheme="minorEastAsia"/>
              </w:rPr>
            </w:pPr>
            <w:r>
              <w:rPr>
                <w:rFonts w:hint="eastAsia" w:asciiTheme="minorEastAsia" w:hAnsiTheme="minorEastAsia" w:eastAsiaTheme="minorEastAsia"/>
              </w:rPr>
              <w:t>备注：</w:t>
            </w:r>
          </w:p>
        </w:tc>
      </w:tr>
    </w:tbl>
    <w:p>
      <w:pPr>
        <w:spacing w:line="400" w:lineRule="exact"/>
        <w:ind w:firstLine="600" w:firstLineChars="250"/>
        <w:rPr>
          <w:rFonts w:asciiTheme="minorEastAsia" w:hAnsiTheme="minorEastAsia" w:eastAsiaTheme="minorEastAsia"/>
          <w:sz w:val="28"/>
        </w:rPr>
      </w:pPr>
      <w:r>
        <w:rPr>
          <w:rFonts w:hint="eastAsia" w:asciiTheme="minorEastAsia" w:hAnsiTheme="minorEastAsia" w:eastAsiaTheme="minorEastAsia"/>
          <w:sz w:val="24"/>
          <w:szCs w:val="24"/>
        </w:rPr>
        <w:t>2.2、合同价款支付方式：</w:t>
      </w:r>
    </w:p>
    <w:p>
      <w:pPr>
        <w:spacing w:line="400" w:lineRule="exact"/>
        <w:ind w:firstLine="720" w:firstLineChars="300"/>
        <w:rPr>
          <w:rFonts w:asciiTheme="minorEastAsia" w:hAnsiTheme="minorEastAsia" w:eastAsiaTheme="minorEastAsia"/>
          <w:sz w:val="24"/>
        </w:rPr>
      </w:pPr>
      <w:r>
        <w:rPr>
          <w:rFonts w:hint="eastAsia" w:asciiTheme="minorEastAsia" w:hAnsiTheme="minorEastAsia" w:eastAsiaTheme="minorEastAsia"/>
          <w:sz w:val="24"/>
        </w:rPr>
        <w:t>2.2.1 在本合同生效后，甲方向乙方支付合同总金额的20%作为定金（即</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sz w:val="24"/>
        </w:rPr>
        <w:t>元）。</w:t>
      </w:r>
    </w:p>
    <w:p>
      <w:pPr>
        <w:spacing w:line="400" w:lineRule="exact"/>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bCs/>
          <w:sz w:val="24"/>
        </w:rPr>
        <w:t xml:space="preserve">2.2.2 </w:t>
      </w:r>
      <w:r>
        <w:rPr>
          <w:rFonts w:hint="eastAsia" w:asciiTheme="minorEastAsia" w:hAnsiTheme="minorEastAsia" w:eastAsiaTheme="minorEastAsia" w:cstheme="minorEastAsia"/>
          <w:sz w:val="24"/>
          <w:szCs w:val="24"/>
        </w:rPr>
        <w:t>在乙方按本合同第3条约定，确定甲方现场已具备排产条件的情形下，乙方向甲方发出书面通知，要求甲方支付排产款，甲方收到该通知后，向乙方支付合同总金额的20%作为排产款（即：元）。排产期届满，乙方送货至甲方指定地点并经双方清点查验无误后，向乙方支付合同总金额的20%作为到货款（即：元）。</w:t>
      </w:r>
    </w:p>
    <w:p>
      <w:pPr>
        <w:spacing w:line="400" w:lineRule="exact"/>
        <w:ind w:firstLine="720" w:firstLineChars="3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 xml:space="preserve">2.2.3 </w:t>
      </w:r>
      <w:r>
        <w:rPr>
          <w:rFonts w:hint="eastAsia" w:asciiTheme="minorEastAsia" w:hAnsiTheme="minorEastAsia" w:eastAsiaTheme="minorEastAsia"/>
          <w:sz w:val="24"/>
          <w:szCs w:val="24"/>
        </w:rPr>
        <w:t>本合同标的设备由</w:t>
      </w:r>
      <w:r>
        <w:rPr>
          <w:rFonts w:hint="eastAsia" w:asciiTheme="minorEastAsia" w:hAnsiTheme="minorEastAsia" w:eastAsiaTheme="minorEastAsia"/>
          <w:sz w:val="24"/>
        </w:rPr>
        <w:t>乙方</w:t>
      </w:r>
      <w:r>
        <w:rPr>
          <w:rFonts w:hint="eastAsia" w:asciiTheme="minorEastAsia" w:hAnsiTheme="minorEastAsia" w:eastAsiaTheme="minorEastAsia"/>
          <w:color w:val="auto"/>
          <w:sz w:val="24"/>
          <w:lang w:eastAsia="zh-CN"/>
        </w:rPr>
        <w:t>或乙方</w:t>
      </w:r>
      <w:r>
        <w:rPr>
          <w:rFonts w:hint="eastAsia" w:asciiTheme="minorEastAsia" w:hAnsiTheme="minorEastAsia" w:eastAsiaTheme="minorEastAsia"/>
          <w:color w:val="auto"/>
          <w:spacing w:val="10"/>
          <w:sz w:val="24"/>
        </w:rPr>
        <w:t>委托、授权的</w:t>
      </w:r>
      <w:r>
        <w:rPr>
          <w:rFonts w:hint="eastAsia" w:asciiTheme="minorEastAsia" w:hAnsiTheme="minorEastAsia" w:eastAsiaTheme="minorEastAsia"/>
          <w:color w:val="auto"/>
          <w:sz w:val="24"/>
          <w:lang w:eastAsia="zh-CN"/>
        </w:rPr>
        <w:t>有电梯安装资质单位（另行签订电梯安装合同）</w:t>
      </w:r>
      <w:r>
        <w:rPr>
          <w:rFonts w:hint="eastAsia" w:asciiTheme="minorEastAsia" w:hAnsiTheme="minorEastAsia" w:eastAsiaTheme="minorEastAsia"/>
          <w:bCs/>
          <w:sz w:val="24"/>
        </w:rPr>
        <w:t>安装结束后，甲方</w:t>
      </w:r>
      <w:r>
        <w:rPr>
          <w:rFonts w:hint="eastAsia" w:asciiTheme="minorEastAsia" w:hAnsiTheme="minorEastAsia" w:eastAsiaTheme="minorEastAsia"/>
          <w:sz w:val="24"/>
        </w:rPr>
        <w:t>向乙方支付合同总金额的20%</w:t>
      </w:r>
      <w:r>
        <w:rPr>
          <w:rFonts w:hint="eastAsia" w:asciiTheme="minorEastAsia" w:hAnsiTheme="minorEastAsia" w:eastAsiaTheme="minorEastAsia" w:cstheme="minorEastAsia"/>
          <w:sz w:val="24"/>
          <w:szCs w:val="24"/>
        </w:rPr>
        <w:t>（即：元）</w:t>
      </w:r>
      <w:r>
        <w:rPr>
          <w:rFonts w:hint="eastAsia" w:asciiTheme="minorEastAsia" w:hAnsiTheme="minorEastAsia" w:eastAsiaTheme="minorEastAsia"/>
          <w:bCs/>
          <w:sz w:val="24"/>
        </w:rPr>
        <w:t>。</w:t>
      </w:r>
    </w:p>
    <w:p>
      <w:pPr>
        <w:spacing w:line="400" w:lineRule="exact"/>
        <w:ind w:right="124" w:rightChars="59" w:firstLine="720" w:firstLineChars="300"/>
        <w:rPr>
          <w:rFonts w:asciiTheme="minorEastAsia" w:hAnsiTheme="minorEastAsia" w:eastAsiaTheme="minorEastAsia"/>
          <w:sz w:val="24"/>
        </w:rPr>
      </w:pPr>
      <w:r>
        <w:rPr>
          <w:rFonts w:hint="eastAsia" w:asciiTheme="minorEastAsia" w:hAnsiTheme="minorEastAsia" w:eastAsiaTheme="minorEastAsia"/>
          <w:bCs/>
          <w:sz w:val="24"/>
        </w:rPr>
        <w:t>2.2.4 标的设备经安装地特检单位检验合格，乙方向甲方出示《电梯监督检验报告》后，甲方向乙方支付</w:t>
      </w:r>
      <w:r>
        <w:rPr>
          <w:rFonts w:hint="eastAsia" w:asciiTheme="minorEastAsia" w:hAnsiTheme="minorEastAsia" w:eastAsiaTheme="minorEastAsia"/>
          <w:sz w:val="24"/>
        </w:rPr>
        <w:t>合同总金额的17%</w:t>
      </w:r>
      <w:r>
        <w:rPr>
          <w:rFonts w:hint="eastAsia" w:asciiTheme="minorEastAsia" w:hAnsiTheme="minorEastAsia" w:eastAsiaTheme="minorEastAsia" w:cstheme="minorEastAsia"/>
          <w:sz w:val="24"/>
          <w:szCs w:val="24"/>
        </w:rPr>
        <w:t>（即：元）</w:t>
      </w:r>
      <w:r>
        <w:rPr>
          <w:rFonts w:hint="eastAsia" w:asciiTheme="minorEastAsia" w:hAnsiTheme="minorEastAsia" w:eastAsiaTheme="minorEastAsia"/>
          <w:sz w:val="24"/>
        </w:rPr>
        <w:t>作为验收款。</w:t>
      </w:r>
    </w:p>
    <w:p>
      <w:pPr>
        <w:spacing w:line="400" w:lineRule="exact"/>
        <w:ind w:right="124" w:rightChars="59" w:firstLine="720" w:firstLineChars="300"/>
        <w:rPr>
          <w:rFonts w:asciiTheme="minorEastAsia" w:hAnsiTheme="minorEastAsia" w:eastAsiaTheme="minorEastAsia"/>
          <w:sz w:val="24"/>
        </w:rPr>
      </w:pPr>
      <w:r>
        <w:rPr>
          <w:rFonts w:hint="eastAsia" w:asciiTheme="minorEastAsia" w:hAnsiTheme="minorEastAsia" w:eastAsiaTheme="minorEastAsia"/>
          <w:sz w:val="24"/>
        </w:rPr>
        <w:t xml:space="preserve">2.2.5 </w:t>
      </w:r>
      <w:r>
        <w:rPr>
          <w:rFonts w:hint="eastAsia" w:cs="方正仿宋_GBK" w:asciiTheme="majorEastAsia" w:hAnsiTheme="majorEastAsia" w:eastAsiaTheme="majorEastAsia"/>
          <w:sz w:val="24"/>
        </w:rPr>
        <w:t>合同价款的3%</w:t>
      </w:r>
      <w:r>
        <w:rPr>
          <w:rFonts w:hint="eastAsia" w:asciiTheme="majorEastAsia" w:hAnsiTheme="majorEastAsia" w:eastAsiaTheme="majorEastAsia"/>
          <w:sz w:val="24"/>
        </w:rPr>
        <w:t>作为质保金（即：元）</w:t>
      </w:r>
      <w:r>
        <w:rPr>
          <w:rFonts w:hint="eastAsia" w:cs="方正仿宋_GBK" w:asciiTheme="majorEastAsia" w:hAnsiTheme="majorEastAsia" w:eastAsiaTheme="majorEastAsia"/>
          <w:sz w:val="24"/>
        </w:rPr>
        <w:t>。电梯质保期为壹年，质量保修期到期后，电梯无质量问题，付清3%的质保金（质保金不计利息）。</w:t>
      </w:r>
    </w:p>
    <w:p>
      <w:pPr>
        <w:spacing w:line="400" w:lineRule="exact"/>
        <w:ind w:firstLine="732" w:firstLineChars="305"/>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2.2.6 </w:t>
      </w:r>
      <w:r>
        <w:rPr>
          <w:rFonts w:hint="eastAsia" w:asciiTheme="minorEastAsia" w:hAnsiTheme="minorEastAsia" w:eastAsiaTheme="minorEastAsia"/>
          <w:spacing w:val="10"/>
          <w:sz w:val="24"/>
          <w:szCs w:val="24"/>
        </w:rPr>
        <w:t>甲方所有付款均应付至本</w:t>
      </w:r>
      <w:r>
        <w:rPr>
          <w:rFonts w:asciiTheme="minorEastAsia" w:hAnsiTheme="minorEastAsia" w:eastAsiaTheme="minorEastAsia"/>
          <w:spacing w:val="10"/>
          <w:sz w:val="24"/>
          <w:szCs w:val="24"/>
        </w:rPr>
        <w:t>合同</w:t>
      </w:r>
      <w:r>
        <w:rPr>
          <w:rFonts w:hint="eastAsia" w:asciiTheme="minorEastAsia" w:hAnsiTheme="minorEastAsia" w:eastAsiaTheme="minorEastAsia"/>
          <w:spacing w:val="10"/>
          <w:sz w:val="24"/>
          <w:szCs w:val="24"/>
        </w:rPr>
        <w:t>之乙方指定账户。以上合同价款付款前，</w:t>
      </w:r>
      <w:r>
        <w:rPr>
          <w:rFonts w:hint="eastAsia" w:asciiTheme="minorEastAsia" w:hAnsiTheme="minorEastAsia" w:eastAsiaTheme="minorEastAsia"/>
          <w:sz w:val="24"/>
          <w:szCs w:val="24"/>
        </w:rPr>
        <w:t>乙方先</w:t>
      </w:r>
      <w:r>
        <w:rPr>
          <w:rFonts w:hint="eastAsia" w:ascii="宋体" w:hAnsi="宋体"/>
          <w:sz w:val="24"/>
          <w:szCs w:val="24"/>
        </w:rPr>
        <w:t>按（现行）</w:t>
      </w:r>
      <w:r>
        <w:rPr>
          <w:rFonts w:ascii="宋体" w:hAnsi="宋体"/>
          <w:sz w:val="24"/>
          <w:szCs w:val="24"/>
        </w:rPr>
        <w:t>税率</w:t>
      </w:r>
      <w:r>
        <w:rPr>
          <w:rFonts w:hint="eastAsia" w:ascii="宋体" w:hAnsi="宋体"/>
          <w:sz w:val="24"/>
          <w:szCs w:val="24"/>
        </w:rPr>
        <w:t xml:space="preserve">   </w:t>
      </w:r>
      <w:r>
        <w:rPr>
          <w:rFonts w:ascii="宋体" w:hAnsi="宋体"/>
          <w:sz w:val="24"/>
          <w:szCs w:val="24"/>
        </w:rPr>
        <w:t>%</w:t>
      </w:r>
      <w:r>
        <w:rPr>
          <w:rFonts w:hint="eastAsia" w:asciiTheme="minorEastAsia" w:hAnsiTheme="minorEastAsia" w:eastAsiaTheme="minorEastAsia"/>
          <w:sz w:val="24"/>
          <w:szCs w:val="24"/>
        </w:rPr>
        <w:t>向</w:t>
      </w:r>
      <w:r>
        <w:rPr>
          <w:rFonts w:ascii="宋体" w:hAnsi="宋体"/>
          <w:sz w:val="24"/>
          <w:szCs w:val="24"/>
        </w:rPr>
        <w:t>甲方出具等额一般纳税人增</w:t>
      </w:r>
      <w:r>
        <w:rPr>
          <w:rFonts w:hint="eastAsia" w:ascii="宋体" w:hAnsi="宋体"/>
          <w:sz w:val="24"/>
          <w:szCs w:val="24"/>
        </w:rPr>
        <w:t>值</w:t>
      </w:r>
      <w:r>
        <w:rPr>
          <w:rFonts w:ascii="宋体" w:hAnsi="宋体"/>
          <w:sz w:val="24"/>
          <w:szCs w:val="24"/>
        </w:rPr>
        <w:t>税专用发票</w:t>
      </w:r>
      <w:r>
        <w:rPr>
          <w:rFonts w:hint="eastAsia" w:ascii="宋体" w:hAnsi="宋体"/>
          <w:sz w:val="24"/>
          <w:szCs w:val="24"/>
        </w:rPr>
        <w:t>，甲方收到发票后再于 7个工作日内，按本合同约定支付合同价款。若</w:t>
      </w:r>
      <w:r>
        <w:rPr>
          <w:rFonts w:ascii="宋体" w:hAnsi="宋体"/>
          <w:sz w:val="24"/>
          <w:szCs w:val="24"/>
        </w:rPr>
        <w:t>开票时</w:t>
      </w:r>
      <w:r>
        <w:rPr>
          <w:rFonts w:hint="eastAsia" w:ascii="宋体" w:hAnsi="宋体"/>
          <w:sz w:val="24"/>
          <w:szCs w:val="24"/>
        </w:rPr>
        <w:t>遇国</w:t>
      </w:r>
      <w:r>
        <w:rPr>
          <w:rFonts w:ascii="宋体" w:hAnsi="宋体"/>
          <w:sz w:val="24"/>
          <w:szCs w:val="24"/>
        </w:rPr>
        <w:t>家税率调整，税金部分按新税率执行，合同总价不变。</w:t>
      </w:r>
    </w:p>
    <w:p>
      <w:pPr>
        <w:spacing w:line="400" w:lineRule="exact"/>
        <w:ind w:firstLine="796" w:firstLineChars="305"/>
        <w:rPr>
          <w:rFonts w:asciiTheme="minorEastAsia" w:hAnsiTheme="minorEastAsia" w:eastAsiaTheme="minorEastAsia"/>
          <w:b/>
          <w:sz w:val="26"/>
          <w:szCs w:val="26"/>
        </w:rPr>
      </w:pPr>
      <w:r>
        <w:rPr>
          <w:rFonts w:hint="eastAsia" w:asciiTheme="minorEastAsia" w:hAnsiTheme="minorEastAsia" w:eastAsiaTheme="minorEastAsia"/>
          <w:b/>
          <w:sz w:val="26"/>
          <w:szCs w:val="26"/>
        </w:rPr>
        <w:t>3、关于排产及使用的特别约定：</w:t>
      </w:r>
    </w:p>
    <w:p>
      <w:pPr>
        <w:spacing w:line="4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3.1 在签订合同时甲方电梯井道土建未完全形成的，由甲方提供电梯井道设计参数，供乙方于</w:t>
      </w:r>
      <w:r>
        <w:rPr>
          <w:rFonts w:hint="eastAsia" w:asciiTheme="minorEastAsia" w:hAnsiTheme="minorEastAsia" w:eastAsiaTheme="minorEastAsia"/>
          <w:sz w:val="24"/>
          <w:szCs w:val="24"/>
          <w:u w:val="single"/>
        </w:rPr>
        <w:t xml:space="preserve"> 5 </w:t>
      </w:r>
      <w:r>
        <w:rPr>
          <w:rFonts w:hint="eastAsia" w:asciiTheme="minorEastAsia" w:hAnsiTheme="minorEastAsia" w:eastAsiaTheme="minorEastAsia"/>
          <w:sz w:val="24"/>
          <w:szCs w:val="24"/>
        </w:rPr>
        <w:t>日内出具《电梯土建方案设计图》，经双方签字或盖章确认后,由甲方按图施工，乙方负责对</w:t>
      </w:r>
      <w:r>
        <w:rPr>
          <w:rFonts w:hint="eastAsia" w:asciiTheme="minorEastAsia" w:hAnsiTheme="minorEastAsia" w:eastAsiaTheme="minorEastAsia"/>
          <w:sz w:val="24"/>
        </w:rPr>
        <w:t>电梯土建井道进行监督施工。</w:t>
      </w:r>
    </w:p>
    <w:p>
      <w:pPr>
        <w:spacing w:line="4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3.2 </w:t>
      </w:r>
      <w:r>
        <w:rPr>
          <w:rFonts w:hint="eastAsia" w:asciiTheme="minorEastAsia" w:hAnsiTheme="minorEastAsia" w:eastAsiaTheme="minorEastAsia"/>
          <w:sz w:val="24"/>
        </w:rPr>
        <w:t>甲、乙双方同意按以下约定且符合其它约定条件时将标的设备进行正式排产：</w:t>
      </w:r>
    </w:p>
    <w:p>
      <w:pPr>
        <w:spacing w:line="400" w:lineRule="exact"/>
        <w:ind w:firstLine="720" w:firstLineChars="300"/>
        <w:rPr>
          <w:rFonts w:hint="eastAsia" w:asciiTheme="minorEastAsia" w:hAnsiTheme="minorEastAsia" w:eastAsiaTheme="minorEastAsia"/>
          <w:sz w:val="24"/>
          <w:lang w:eastAsia="zh-CN"/>
        </w:rPr>
      </w:pPr>
      <w:r>
        <w:rPr>
          <w:rFonts w:hint="eastAsia" w:asciiTheme="minorEastAsia" w:hAnsiTheme="minorEastAsia" w:eastAsiaTheme="minorEastAsia"/>
          <w:sz w:val="24"/>
        </w:rPr>
        <w:t>3.2.1在甲方电梯井道土建完全形成后，</w:t>
      </w:r>
      <w:r>
        <w:rPr>
          <w:rFonts w:hint="eastAsia" w:asciiTheme="minorEastAsia" w:hAnsiTheme="minorEastAsia" w:eastAsiaTheme="minorEastAsia"/>
          <w:color w:val="auto"/>
          <w:sz w:val="24"/>
        </w:rPr>
        <w:t>由乙方实测</w:t>
      </w:r>
      <w:r>
        <w:rPr>
          <w:rFonts w:hint="eastAsia" w:asciiTheme="minorEastAsia" w:hAnsiTheme="minorEastAsia" w:eastAsiaTheme="minorEastAsia"/>
          <w:color w:val="auto"/>
          <w:sz w:val="24"/>
          <w:lang w:val="en-US" w:eastAsia="zh-CN"/>
        </w:rPr>
        <w:t>后再次</w:t>
      </w:r>
      <w:r>
        <w:rPr>
          <w:rFonts w:hint="eastAsia" w:asciiTheme="minorEastAsia" w:hAnsiTheme="minorEastAsia" w:eastAsiaTheme="minorEastAsia"/>
          <w:color w:val="auto"/>
          <w:sz w:val="24"/>
        </w:rPr>
        <w:t>出具</w:t>
      </w:r>
      <w:r>
        <w:rPr>
          <w:rFonts w:hint="eastAsia" w:asciiTheme="minorEastAsia" w:hAnsiTheme="minorEastAsia" w:eastAsiaTheme="minorEastAsia"/>
          <w:color w:val="auto"/>
          <w:sz w:val="24"/>
          <w:szCs w:val="24"/>
          <w:lang w:val="en-US" w:eastAsia="zh-CN"/>
        </w:rPr>
        <w:t>整改后的竣工图</w:t>
      </w:r>
      <w:r>
        <w:rPr>
          <w:rFonts w:hint="eastAsia" w:asciiTheme="minorEastAsia" w:hAnsiTheme="minorEastAsia" w:eastAsiaTheme="minorEastAsia"/>
          <w:sz w:val="24"/>
        </w:rPr>
        <w:t>，直接依图排产，甲方不再确认图纸</w:t>
      </w:r>
      <w:r>
        <w:rPr>
          <w:rFonts w:hint="eastAsia" w:asciiTheme="minorEastAsia" w:hAnsiTheme="minorEastAsia" w:eastAsiaTheme="minorEastAsia"/>
          <w:sz w:val="24"/>
          <w:lang w:eastAsia="zh-CN"/>
        </w:rPr>
        <w:t>。</w:t>
      </w:r>
    </w:p>
    <w:p>
      <w:pPr>
        <w:spacing w:line="400" w:lineRule="exact"/>
        <w:ind w:firstLine="600" w:firstLineChars="250"/>
        <w:rPr>
          <w:rFonts w:asciiTheme="minorEastAsia" w:hAnsiTheme="minorEastAsia" w:eastAsiaTheme="minorEastAsia"/>
          <w:bCs/>
          <w:sz w:val="24"/>
        </w:rPr>
      </w:pPr>
      <w:r>
        <w:rPr>
          <w:rFonts w:hint="eastAsia" w:asciiTheme="minorEastAsia" w:hAnsiTheme="minorEastAsia" w:eastAsiaTheme="minorEastAsia"/>
          <w:sz w:val="24"/>
        </w:rPr>
        <w:t xml:space="preserve">3.3 </w:t>
      </w:r>
      <w:r>
        <w:rPr>
          <w:rFonts w:hint="eastAsia" w:asciiTheme="minorEastAsia" w:hAnsiTheme="minorEastAsia" w:eastAsiaTheme="minorEastAsia"/>
          <w:bCs/>
          <w:sz w:val="24"/>
        </w:rPr>
        <w:t>甲方电梯设备井道为钢结构的，参照上述相关约定执行。</w:t>
      </w:r>
    </w:p>
    <w:p>
      <w:pPr>
        <w:spacing w:line="400" w:lineRule="exact"/>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rPr>
        <w:t>3.4 本合同标的设备为</w:t>
      </w:r>
      <w:r>
        <w:rPr>
          <w:rFonts w:hint="eastAsia"/>
        </w:rPr>
        <w:t>垂直</w:t>
      </w:r>
      <w:r>
        <w:rPr>
          <w:rFonts w:hint="eastAsia" w:asciiTheme="minorEastAsia" w:hAnsiTheme="minorEastAsia" w:eastAsiaTheme="minorEastAsia"/>
          <w:bCs/>
          <w:sz w:val="24"/>
        </w:rPr>
        <w:t>商用</w:t>
      </w:r>
      <w:r>
        <w:rPr>
          <w:rFonts w:hint="eastAsia" w:asciiTheme="minorEastAsia" w:hAnsiTheme="minorEastAsia" w:eastAsiaTheme="minorEastAsia"/>
        </w:rPr>
        <w:t>电梯一台</w:t>
      </w:r>
      <w:r>
        <w:rPr>
          <w:rFonts w:hint="eastAsia" w:asciiTheme="minorEastAsia" w:hAnsiTheme="minorEastAsia" w:eastAsiaTheme="minorEastAsia"/>
          <w:bCs/>
          <w:sz w:val="24"/>
        </w:rPr>
        <w:t>。</w:t>
      </w:r>
    </w:p>
    <w:p>
      <w:pPr>
        <w:spacing w:line="400" w:lineRule="exact"/>
        <w:ind w:firstLine="522" w:firstLineChars="200"/>
        <w:rPr>
          <w:rFonts w:asciiTheme="minorEastAsia" w:hAnsiTheme="minorEastAsia" w:eastAsiaTheme="minorEastAsia"/>
          <w:b/>
          <w:sz w:val="26"/>
          <w:szCs w:val="26"/>
        </w:rPr>
      </w:pPr>
      <w:r>
        <w:rPr>
          <w:rFonts w:hint="eastAsia" w:asciiTheme="minorEastAsia" w:hAnsiTheme="minorEastAsia" w:eastAsiaTheme="minorEastAsia"/>
          <w:b/>
          <w:sz w:val="26"/>
          <w:szCs w:val="26"/>
        </w:rPr>
        <w:t>4、排产、排产周期：</w:t>
      </w:r>
    </w:p>
    <w:p>
      <w:pPr>
        <w:spacing w:line="400" w:lineRule="exact"/>
        <w:ind w:firstLine="650" w:firstLineChars="250"/>
        <w:rPr>
          <w:rFonts w:asciiTheme="minorEastAsia" w:hAnsiTheme="minorEastAsia" w:eastAsiaTheme="minorEastAsia"/>
          <w:spacing w:val="10"/>
          <w:sz w:val="24"/>
        </w:rPr>
      </w:pPr>
      <w:r>
        <w:rPr>
          <w:rFonts w:hint="eastAsia" w:asciiTheme="minorEastAsia" w:hAnsiTheme="minorEastAsia" w:eastAsiaTheme="minorEastAsia"/>
          <w:spacing w:val="10"/>
          <w:sz w:val="24"/>
        </w:rPr>
        <w:t>4.1同时具备以下条件的，由乙方正式排产标的设备：</w:t>
      </w:r>
    </w:p>
    <w:p>
      <w:pPr>
        <w:spacing w:line="400" w:lineRule="exact"/>
        <w:ind w:firstLine="780" w:firstLineChars="300"/>
        <w:rPr>
          <w:rFonts w:asciiTheme="minorEastAsia" w:hAnsiTheme="minorEastAsia" w:eastAsiaTheme="minorEastAsia"/>
          <w:spacing w:val="10"/>
          <w:sz w:val="24"/>
        </w:rPr>
      </w:pPr>
      <w:r>
        <w:rPr>
          <w:rFonts w:hint="eastAsia" w:asciiTheme="minorEastAsia" w:hAnsiTheme="minorEastAsia" w:eastAsiaTheme="minorEastAsia"/>
          <w:spacing w:val="10"/>
          <w:sz w:val="24"/>
        </w:rPr>
        <w:t>4.1.1 甲方已按本合同第2.2条的约定付款；</w:t>
      </w:r>
    </w:p>
    <w:p>
      <w:pPr>
        <w:spacing w:line="400" w:lineRule="exact"/>
        <w:ind w:firstLine="780" w:firstLineChars="300"/>
        <w:rPr>
          <w:rFonts w:asciiTheme="minorEastAsia" w:hAnsiTheme="minorEastAsia" w:eastAsiaTheme="minorEastAsia"/>
          <w:spacing w:val="10"/>
          <w:sz w:val="24"/>
        </w:rPr>
      </w:pPr>
      <w:r>
        <w:rPr>
          <w:rFonts w:hint="eastAsia" w:asciiTheme="minorEastAsia" w:hAnsiTheme="minorEastAsia" w:eastAsiaTheme="minorEastAsia"/>
          <w:spacing w:val="10"/>
          <w:sz w:val="24"/>
        </w:rPr>
        <w:t>4.1.2 甲、乙双方已按本合同第3条的约定确认排产依据；</w:t>
      </w:r>
    </w:p>
    <w:p>
      <w:pPr>
        <w:spacing w:line="400" w:lineRule="exact"/>
        <w:ind w:firstLine="780" w:firstLineChars="300"/>
        <w:rPr>
          <w:rFonts w:asciiTheme="minorEastAsia" w:hAnsiTheme="minorEastAsia" w:eastAsiaTheme="minorEastAsia"/>
          <w:spacing w:val="10"/>
          <w:sz w:val="24"/>
        </w:rPr>
      </w:pPr>
      <w:r>
        <w:rPr>
          <w:rFonts w:hint="eastAsia" w:asciiTheme="minorEastAsia" w:hAnsiTheme="minorEastAsia" w:eastAsiaTheme="minorEastAsia"/>
          <w:spacing w:val="10"/>
          <w:sz w:val="24"/>
        </w:rPr>
        <w:t>4.1.3 满足甲、乙双方达成的其它约定。</w:t>
      </w:r>
    </w:p>
    <w:p>
      <w:pPr>
        <w:spacing w:line="400" w:lineRule="exact"/>
        <w:ind w:firstLine="520" w:firstLineChars="200"/>
        <w:rPr>
          <w:rFonts w:asciiTheme="minorEastAsia" w:hAnsiTheme="minorEastAsia" w:eastAsiaTheme="minorEastAsia"/>
          <w:spacing w:val="10"/>
          <w:sz w:val="24"/>
        </w:rPr>
      </w:pPr>
      <w:r>
        <w:rPr>
          <w:rFonts w:hint="eastAsia" w:asciiTheme="minorEastAsia" w:hAnsiTheme="minorEastAsia" w:eastAsiaTheme="minorEastAsia"/>
          <w:spacing w:val="10"/>
          <w:sz w:val="24"/>
        </w:rPr>
        <w:t xml:space="preserve"> 4.2 排产期为满足本合同第4.1条约定的条件</w:t>
      </w:r>
      <w:r>
        <w:rPr>
          <w:rFonts w:hint="eastAsia" w:asciiTheme="minorEastAsia" w:hAnsiTheme="minorEastAsia" w:eastAsiaTheme="minorEastAsia"/>
          <w:spacing w:val="10"/>
          <w:sz w:val="24"/>
          <w:u w:val="single"/>
        </w:rPr>
        <w:t>5</w:t>
      </w:r>
      <w:r>
        <w:rPr>
          <w:rFonts w:hint="eastAsia" w:asciiTheme="minorEastAsia" w:hAnsiTheme="minorEastAsia" w:eastAsiaTheme="minorEastAsia"/>
          <w:spacing w:val="10"/>
          <w:sz w:val="24"/>
        </w:rPr>
        <w:t>个工作日后的次日起30个工作日。</w:t>
      </w:r>
    </w:p>
    <w:p>
      <w:pPr>
        <w:spacing w:line="400" w:lineRule="exact"/>
        <w:ind w:firstLine="522" w:firstLineChars="200"/>
        <w:rPr>
          <w:rFonts w:asciiTheme="minorEastAsia" w:hAnsiTheme="minorEastAsia" w:eastAsiaTheme="minorEastAsia"/>
          <w:b/>
          <w:sz w:val="26"/>
          <w:szCs w:val="26"/>
        </w:rPr>
      </w:pPr>
      <w:r>
        <w:rPr>
          <w:rFonts w:hint="eastAsia" w:asciiTheme="minorEastAsia" w:hAnsiTheme="minorEastAsia" w:eastAsiaTheme="minorEastAsia"/>
          <w:b/>
          <w:sz w:val="26"/>
          <w:szCs w:val="26"/>
        </w:rPr>
        <w:t>5、发货、发货周期：</w:t>
      </w:r>
    </w:p>
    <w:p>
      <w:pPr>
        <w:spacing w:line="400" w:lineRule="exact"/>
        <w:ind w:firstLine="480" w:firstLineChars="200"/>
        <w:rPr>
          <w:rFonts w:asciiTheme="minorEastAsia" w:hAnsiTheme="minorEastAsia" w:eastAsiaTheme="minorEastAsia"/>
          <w:b/>
          <w:sz w:val="28"/>
        </w:rPr>
      </w:pPr>
      <w:r>
        <w:rPr>
          <w:rFonts w:hint="eastAsia" w:asciiTheme="minorEastAsia" w:hAnsiTheme="minorEastAsia" w:eastAsiaTheme="minorEastAsia"/>
          <w:sz w:val="24"/>
        </w:rPr>
        <w:t xml:space="preserve">    具备以下条件的，由乙方安排发货：</w:t>
      </w:r>
    </w:p>
    <w:p>
      <w:pPr>
        <w:spacing w:line="400" w:lineRule="exact"/>
        <w:ind w:firstLine="600" w:firstLineChars="250"/>
        <w:outlineLvl w:val="0"/>
        <w:rPr>
          <w:rFonts w:asciiTheme="minorEastAsia" w:hAnsiTheme="minorEastAsia" w:eastAsiaTheme="minorEastAsia"/>
          <w:sz w:val="24"/>
        </w:rPr>
      </w:pPr>
      <w:r>
        <w:rPr>
          <w:rFonts w:hint="eastAsia" w:asciiTheme="minorEastAsia" w:hAnsiTheme="minorEastAsia" w:eastAsiaTheme="minorEastAsia"/>
          <w:sz w:val="24"/>
        </w:rPr>
        <w:t>5.1 排产期届满（或乙方告知可发货的），由甲方正式通知乙方发货；</w:t>
      </w:r>
    </w:p>
    <w:p>
      <w:pPr>
        <w:spacing w:line="400" w:lineRule="exact"/>
        <w:ind w:firstLine="600" w:firstLineChars="250"/>
        <w:outlineLvl w:val="0"/>
        <w:rPr>
          <w:rFonts w:asciiTheme="minorEastAsia" w:hAnsiTheme="minorEastAsia" w:eastAsiaTheme="minorEastAsia"/>
          <w:sz w:val="24"/>
        </w:rPr>
      </w:pPr>
      <w:r>
        <w:rPr>
          <w:rFonts w:hint="eastAsia" w:asciiTheme="minorEastAsia" w:hAnsiTheme="minorEastAsia" w:eastAsiaTheme="minorEastAsia"/>
          <w:sz w:val="24"/>
        </w:rPr>
        <w:t>5.2 乙方已按本合同约定收到甲方支付的相应款项；</w:t>
      </w:r>
    </w:p>
    <w:p>
      <w:pPr>
        <w:spacing w:line="400" w:lineRule="exact"/>
        <w:ind w:firstLine="600" w:firstLineChars="250"/>
        <w:rPr>
          <w:rFonts w:asciiTheme="minorEastAsia" w:hAnsiTheme="minorEastAsia" w:eastAsiaTheme="minorEastAsia"/>
          <w:sz w:val="24"/>
        </w:rPr>
      </w:pPr>
      <w:r>
        <w:rPr>
          <w:rFonts w:hint="eastAsia" w:asciiTheme="minorEastAsia" w:hAnsiTheme="minorEastAsia" w:eastAsiaTheme="minorEastAsia"/>
          <w:sz w:val="24"/>
        </w:rPr>
        <w:t>5.3 由</w:t>
      </w:r>
      <w:r>
        <w:rPr>
          <w:rFonts w:hint="eastAsia" w:asciiTheme="minorEastAsia" w:hAnsiTheme="minorEastAsia" w:eastAsiaTheme="minorEastAsia"/>
          <w:color w:val="auto"/>
          <w:sz w:val="24"/>
        </w:rPr>
        <w:t>乙方</w:t>
      </w:r>
      <w:r>
        <w:rPr>
          <w:rFonts w:hint="eastAsia" w:asciiTheme="minorEastAsia" w:hAnsiTheme="minorEastAsia" w:eastAsiaTheme="minorEastAsia"/>
          <w:color w:val="auto"/>
          <w:spacing w:val="10"/>
          <w:sz w:val="24"/>
        </w:rPr>
        <w:t>或乙方委托、授权的单位</w:t>
      </w:r>
      <w:r>
        <w:rPr>
          <w:rFonts w:hint="eastAsia" w:asciiTheme="minorEastAsia" w:hAnsiTheme="minorEastAsia" w:eastAsiaTheme="minorEastAsia"/>
          <w:sz w:val="24"/>
        </w:rPr>
        <w:t>安装的，在垂直梯发货前，甲方安装现场应当具备以下条件：</w:t>
      </w:r>
    </w:p>
    <w:p>
      <w:pPr>
        <w:spacing w:line="400" w:lineRule="exact"/>
        <w:ind w:firstLine="720" w:firstLineChars="300"/>
        <w:rPr>
          <w:rFonts w:asciiTheme="minorEastAsia" w:hAnsiTheme="minorEastAsia" w:eastAsiaTheme="minorEastAsia"/>
          <w:sz w:val="24"/>
        </w:rPr>
      </w:pPr>
      <w:r>
        <w:rPr>
          <w:rFonts w:hint="eastAsia" w:asciiTheme="minorEastAsia" w:hAnsiTheme="minorEastAsia" w:eastAsiaTheme="minorEastAsia"/>
          <w:sz w:val="24"/>
        </w:rPr>
        <w:t>5.3.1 电梯井道土建符合乙方土建方案图的要求；</w:t>
      </w:r>
    </w:p>
    <w:p>
      <w:pPr>
        <w:spacing w:line="400" w:lineRule="exact"/>
        <w:ind w:firstLine="720" w:firstLineChars="300"/>
        <w:rPr>
          <w:rFonts w:asciiTheme="minorEastAsia" w:hAnsiTheme="minorEastAsia" w:eastAsiaTheme="minorEastAsia"/>
          <w:sz w:val="24"/>
        </w:rPr>
      </w:pPr>
      <w:r>
        <w:rPr>
          <w:rFonts w:hint="eastAsia" w:asciiTheme="minorEastAsia" w:hAnsiTheme="minorEastAsia" w:eastAsiaTheme="minorEastAsia"/>
          <w:sz w:val="24"/>
        </w:rPr>
        <w:t>5.3.2 甲方能提供妥善保管标的设备的封闭式仓库或封闭式机房；</w:t>
      </w:r>
    </w:p>
    <w:p>
      <w:pPr>
        <w:spacing w:line="400" w:lineRule="exact"/>
        <w:ind w:firstLine="720" w:firstLineChars="300"/>
        <w:rPr>
          <w:rFonts w:asciiTheme="minorEastAsia" w:hAnsiTheme="minorEastAsia" w:eastAsiaTheme="minorEastAsia"/>
          <w:sz w:val="24"/>
        </w:rPr>
      </w:pPr>
      <w:r>
        <w:rPr>
          <w:rFonts w:hint="eastAsia" w:asciiTheme="minorEastAsia" w:hAnsiTheme="minorEastAsia" w:eastAsiaTheme="minorEastAsia"/>
          <w:sz w:val="24"/>
        </w:rPr>
        <w:t>5.3.3 安装施工用动力线（三相五线）已进入机房位置；</w:t>
      </w:r>
    </w:p>
    <w:p>
      <w:pPr>
        <w:spacing w:line="400" w:lineRule="exact"/>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rPr>
        <w:t xml:space="preserve">5.3.4 </w:t>
      </w:r>
      <w:r>
        <w:rPr>
          <w:rFonts w:hint="eastAsia" w:asciiTheme="minorEastAsia" w:hAnsiTheme="minorEastAsia" w:eastAsiaTheme="minorEastAsia"/>
          <w:sz w:val="24"/>
          <w:szCs w:val="24"/>
        </w:rPr>
        <w:t>满足其它双方约定的安装条件。</w:t>
      </w:r>
    </w:p>
    <w:p>
      <w:pPr>
        <w:spacing w:line="400" w:lineRule="exact"/>
        <w:ind w:firstLine="600" w:firstLineChars="250"/>
        <w:rPr>
          <w:rFonts w:asciiTheme="minorEastAsia" w:hAnsiTheme="minorEastAsia" w:eastAsiaTheme="minorEastAsia"/>
          <w:sz w:val="24"/>
        </w:rPr>
      </w:pPr>
      <w:r>
        <w:rPr>
          <w:rFonts w:hint="eastAsia" w:asciiTheme="minorEastAsia" w:hAnsiTheme="minorEastAsia" w:eastAsiaTheme="minorEastAsia"/>
          <w:sz w:val="24"/>
        </w:rPr>
        <w:t>5.4 发货周期为满足本合同约定后3-5个工作日内安排发货，运输期间不包含在内。</w:t>
      </w:r>
    </w:p>
    <w:p>
      <w:pPr>
        <w:spacing w:line="400" w:lineRule="exact"/>
        <w:ind w:firstLine="600" w:firstLineChars="250"/>
        <w:rPr>
          <w:rFonts w:asciiTheme="minorEastAsia" w:hAnsiTheme="minorEastAsia" w:eastAsiaTheme="minorEastAsia"/>
          <w:sz w:val="24"/>
        </w:rPr>
      </w:pPr>
      <w:r>
        <w:rPr>
          <w:rFonts w:hint="eastAsia" w:asciiTheme="minorEastAsia" w:hAnsiTheme="minorEastAsia" w:eastAsiaTheme="minorEastAsia"/>
          <w:sz w:val="24"/>
        </w:rPr>
        <w:t>5.5 甲、乙双方约定，乙方可根据甲方工程实际情况分批次交货，以满足实际需要。但乙方采用分批次方式发货必须经甲方书面同意。</w:t>
      </w:r>
    </w:p>
    <w:p>
      <w:pPr>
        <w:adjustRightInd/>
        <w:spacing w:line="400" w:lineRule="exact"/>
        <w:ind w:right="124" w:rightChars="59" w:firstLine="653" w:firstLineChars="250"/>
        <w:textAlignment w:val="auto"/>
        <w:rPr>
          <w:rFonts w:asciiTheme="minorEastAsia" w:hAnsiTheme="minorEastAsia" w:eastAsiaTheme="minorEastAsia"/>
          <w:b/>
          <w:sz w:val="26"/>
          <w:szCs w:val="26"/>
        </w:rPr>
      </w:pPr>
      <w:r>
        <w:rPr>
          <w:rFonts w:hint="eastAsia" w:asciiTheme="minorEastAsia" w:hAnsiTheme="minorEastAsia" w:eastAsiaTheme="minorEastAsia"/>
          <w:b/>
          <w:sz w:val="26"/>
          <w:szCs w:val="26"/>
        </w:rPr>
        <w:t>6、产品运输：</w:t>
      </w:r>
    </w:p>
    <w:p>
      <w:pPr>
        <w:spacing w:line="400" w:lineRule="exact"/>
        <w:ind w:firstLine="600" w:firstLineChars="250"/>
        <w:outlineLvl w:val="0"/>
        <w:rPr>
          <w:rFonts w:asciiTheme="minorEastAsia" w:hAnsiTheme="minorEastAsia" w:eastAsiaTheme="minorEastAsia"/>
          <w:sz w:val="24"/>
        </w:rPr>
      </w:pPr>
      <w:r>
        <w:rPr>
          <w:rFonts w:hint="eastAsia" w:asciiTheme="minorEastAsia" w:hAnsiTheme="minorEastAsia" w:eastAsiaTheme="minorEastAsia"/>
          <w:sz w:val="24"/>
        </w:rPr>
        <w:t xml:space="preserve">6.1 </w:t>
      </w:r>
      <w:r>
        <w:rPr>
          <w:rFonts w:hint="eastAsia" w:asciiTheme="minorEastAsia" w:hAnsiTheme="minorEastAsia" w:eastAsiaTheme="minorEastAsia" w:cstheme="minorEastAsia"/>
          <w:spacing w:val="10"/>
          <w:sz w:val="24"/>
          <w:szCs w:val="24"/>
        </w:rPr>
        <w:t>由乙方负责标的设备的运输和卸货，并且相关费用由乙方承担。</w:t>
      </w:r>
    </w:p>
    <w:p>
      <w:pPr>
        <w:autoSpaceDE w:val="0"/>
        <w:autoSpaceDN w:val="0"/>
        <w:spacing w:line="400" w:lineRule="exact"/>
        <w:ind w:firstLine="600" w:firstLineChars="250"/>
        <w:rPr>
          <w:rFonts w:asciiTheme="minorEastAsia" w:hAnsiTheme="minorEastAsia" w:eastAsiaTheme="minorEastAsia"/>
          <w:sz w:val="24"/>
        </w:rPr>
      </w:pPr>
      <w:r>
        <w:rPr>
          <w:rFonts w:hint="eastAsia" w:asciiTheme="minorEastAsia" w:hAnsiTheme="minorEastAsia" w:eastAsiaTheme="minorEastAsia"/>
          <w:sz w:val="24"/>
        </w:rPr>
        <w:t>6.2</w:t>
      </w:r>
      <w:r>
        <w:rPr>
          <w:rFonts w:asciiTheme="minorEastAsia" w:hAnsiTheme="minorEastAsia" w:eastAsiaTheme="minorEastAsia"/>
          <w:sz w:val="24"/>
        </w:rPr>
        <w:t xml:space="preserve"> </w:t>
      </w:r>
      <w:r>
        <w:rPr>
          <w:rFonts w:hint="eastAsia" w:asciiTheme="minorEastAsia" w:hAnsiTheme="minorEastAsia" w:eastAsiaTheme="minorEastAsia"/>
          <w:sz w:val="24"/>
          <w:szCs w:val="24"/>
          <w:lang w:val="zh-CN"/>
        </w:rPr>
        <w:t>货到现场后由乙</w:t>
      </w:r>
      <w:r>
        <w:rPr>
          <w:rFonts w:asciiTheme="minorEastAsia" w:hAnsiTheme="minorEastAsia" w:eastAsiaTheme="minorEastAsia"/>
          <w:sz w:val="24"/>
          <w:szCs w:val="24"/>
          <w:lang w:val="zh-CN"/>
        </w:rPr>
        <w:t>方</w:t>
      </w:r>
      <w:r>
        <w:rPr>
          <w:rFonts w:hint="eastAsia" w:asciiTheme="minorEastAsia" w:hAnsiTheme="minorEastAsia" w:eastAsiaTheme="minorEastAsia"/>
          <w:sz w:val="24"/>
          <w:szCs w:val="24"/>
          <w:lang w:val="zh-CN"/>
        </w:rPr>
        <w:t>免费提供卸货用吊装设备。如现场无塔吊设备，由乙方另行提供吊装设备，并</w:t>
      </w:r>
      <w:r>
        <w:rPr>
          <w:rFonts w:hint="eastAsia" w:cs="宋体" w:asciiTheme="minorEastAsia" w:hAnsiTheme="minorEastAsia" w:eastAsiaTheme="minorEastAsia"/>
          <w:sz w:val="24"/>
          <w:szCs w:val="24"/>
          <w:lang w:val="zh-CN"/>
        </w:rPr>
        <w:t>将曳引机及控制柜完好地吊运至机房内</w:t>
      </w:r>
      <w:r>
        <w:rPr>
          <w:rFonts w:hint="eastAsia" w:asciiTheme="minorEastAsia" w:hAnsiTheme="minorEastAsia" w:eastAsiaTheme="minorEastAsia"/>
          <w:sz w:val="24"/>
        </w:rPr>
        <w:t>。</w:t>
      </w:r>
      <w:r>
        <w:rPr>
          <w:rFonts w:hint="eastAsia" w:asciiTheme="minorEastAsia" w:hAnsiTheme="minorEastAsia" w:eastAsiaTheme="minorEastAsia"/>
          <w:sz w:val="24"/>
          <w:szCs w:val="24"/>
        </w:rPr>
        <w:t>必要时，由乙方根据设备运抵现场环境情况到交通部门办理占用道路手续。</w:t>
      </w:r>
    </w:p>
    <w:p>
      <w:pPr>
        <w:spacing w:line="400" w:lineRule="exact"/>
        <w:ind w:firstLine="522" w:firstLineChars="200"/>
        <w:rPr>
          <w:rFonts w:asciiTheme="minorEastAsia" w:hAnsiTheme="minorEastAsia" w:eastAsiaTheme="minorEastAsia"/>
          <w:b/>
          <w:sz w:val="26"/>
          <w:szCs w:val="26"/>
        </w:rPr>
      </w:pPr>
      <w:r>
        <w:rPr>
          <w:rFonts w:hint="eastAsia" w:asciiTheme="minorEastAsia" w:hAnsiTheme="minorEastAsia" w:eastAsiaTheme="minorEastAsia"/>
          <w:b/>
          <w:sz w:val="26"/>
          <w:szCs w:val="26"/>
        </w:rPr>
        <w:t>7、交货地点：</w:t>
      </w:r>
      <w:r>
        <w:rPr>
          <w:rFonts w:hint="eastAsia" w:asciiTheme="minorEastAsia" w:hAnsiTheme="minorEastAsia" w:eastAsiaTheme="minorEastAsia"/>
          <w:sz w:val="24"/>
          <w:szCs w:val="24"/>
        </w:rPr>
        <w:t>交货地点详见首页</w:t>
      </w:r>
      <w:r>
        <w:rPr>
          <w:rFonts w:hint="eastAsia" w:asciiTheme="minorEastAsia" w:hAnsiTheme="minorEastAsia" w:eastAsiaTheme="minorEastAsia"/>
          <w:bCs/>
          <w:sz w:val="24"/>
          <w:szCs w:val="24"/>
        </w:rPr>
        <w:t xml:space="preserve">项目（送货）信息。 </w:t>
      </w:r>
    </w:p>
    <w:p>
      <w:pPr>
        <w:spacing w:line="400" w:lineRule="exact"/>
        <w:ind w:firstLine="522" w:firstLineChars="200"/>
        <w:rPr>
          <w:rFonts w:asciiTheme="minorEastAsia" w:hAnsiTheme="minorEastAsia" w:eastAsiaTheme="minorEastAsia"/>
          <w:b/>
          <w:sz w:val="26"/>
          <w:szCs w:val="26"/>
        </w:rPr>
      </w:pPr>
      <w:r>
        <w:rPr>
          <w:rFonts w:hint="eastAsia" w:asciiTheme="minorEastAsia" w:hAnsiTheme="minorEastAsia" w:eastAsiaTheme="minorEastAsia"/>
          <w:b/>
          <w:sz w:val="26"/>
          <w:szCs w:val="26"/>
        </w:rPr>
        <w:t>8、提货查验、到货检验、延迟责任：</w:t>
      </w:r>
    </w:p>
    <w:p>
      <w:pPr>
        <w:numPr>
          <w:ilvl w:val="12"/>
          <w:numId w:val="0"/>
        </w:numPr>
        <w:tabs>
          <w:tab w:val="left" w:pos="0"/>
        </w:tabs>
        <w:spacing w:line="400" w:lineRule="exact"/>
        <w:ind w:left="1" w:firstLine="600" w:firstLineChars="250"/>
        <w:rPr>
          <w:rFonts w:asciiTheme="minorEastAsia" w:hAnsiTheme="minorEastAsia" w:eastAsiaTheme="minorEastAsia"/>
          <w:sz w:val="24"/>
        </w:rPr>
      </w:pPr>
      <w:r>
        <w:rPr>
          <w:rFonts w:hint="eastAsia" w:asciiTheme="minorEastAsia" w:hAnsiTheme="minorEastAsia" w:eastAsiaTheme="minorEastAsia"/>
          <w:sz w:val="24"/>
        </w:rPr>
        <w:t>8.1 到货检验：由乙方负责运输且由乙方</w:t>
      </w:r>
      <w:r>
        <w:rPr>
          <w:rFonts w:hint="eastAsia" w:asciiTheme="minorEastAsia" w:hAnsiTheme="minorEastAsia" w:eastAsiaTheme="minorEastAsia"/>
          <w:sz w:val="24"/>
          <w:lang w:eastAsia="zh-CN"/>
        </w:rPr>
        <w:t>（</w:t>
      </w:r>
      <w:r>
        <w:rPr>
          <w:rFonts w:hint="eastAsia" w:asciiTheme="minorEastAsia" w:hAnsiTheme="minorEastAsia" w:eastAsiaTheme="minorEastAsia"/>
          <w:color w:val="auto"/>
          <w:sz w:val="24"/>
          <w:lang w:eastAsia="zh-CN"/>
        </w:rPr>
        <w:t>或</w:t>
      </w:r>
      <w:r>
        <w:rPr>
          <w:rFonts w:hint="eastAsia" w:asciiTheme="minorEastAsia" w:hAnsiTheme="minorEastAsia" w:eastAsiaTheme="minorEastAsia"/>
          <w:color w:val="auto"/>
          <w:spacing w:val="10"/>
          <w:sz w:val="24"/>
        </w:rPr>
        <w:t>乙方委托、授权的单位</w:t>
      </w:r>
      <w:r>
        <w:rPr>
          <w:rFonts w:hint="eastAsia" w:asciiTheme="minorEastAsia" w:hAnsiTheme="minorEastAsia" w:eastAsiaTheme="minorEastAsia"/>
          <w:color w:val="auto"/>
          <w:spacing w:val="10"/>
          <w:sz w:val="24"/>
          <w:lang w:eastAsia="zh-CN"/>
        </w:rPr>
        <w:t>）</w:t>
      </w:r>
      <w:r>
        <w:rPr>
          <w:rFonts w:hint="eastAsia" w:asciiTheme="minorEastAsia" w:hAnsiTheme="minorEastAsia" w:eastAsiaTheme="minorEastAsia"/>
          <w:color w:val="auto"/>
          <w:spacing w:val="10"/>
          <w:sz w:val="24"/>
        </w:rPr>
        <w:t>安装的</w:t>
      </w:r>
      <w:r>
        <w:rPr>
          <w:rFonts w:hint="eastAsia" w:asciiTheme="minorEastAsia" w:hAnsiTheme="minorEastAsia" w:eastAsiaTheme="minorEastAsia"/>
          <w:sz w:val="24"/>
        </w:rPr>
        <w:t>，甲方在货到工地后</w:t>
      </w:r>
      <w:r>
        <w:rPr>
          <w:rFonts w:hint="eastAsia" w:asciiTheme="minorEastAsia" w:hAnsiTheme="minorEastAsia" w:eastAsiaTheme="minorEastAsia"/>
          <w:sz w:val="24"/>
          <w:u w:val="single"/>
        </w:rPr>
        <w:t>3</w:t>
      </w:r>
      <w:r>
        <w:rPr>
          <w:rFonts w:hint="eastAsia" w:asciiTheme="minorEastAsia" w:hAnsiTheme="minorEastAsia" w:eastAsiaTheme="minorEastAsia"/>
          <w:sz w:val="24"/>
        </w:rPr>
        <w:t>工作日内委派代表（或工程监理）与乙方共同对货物进行开箱清点查验，并由双方进行书面确认，经证实漏发、错发的电梯部件由乙方免费换发或补发。甲方逾期查验、自行开箱或货到后超过</w:t>
      </w:r>
      <w:r>
        <w:rPr>
          <w:rFonts w:hint="eastAsia" w:asciiTheme="minorEastAsia" w:hAnsiTheme="minorEastAsia" w:eastAsiaTheme="minorEastAsia"/>
          <w:sz w:val="24"/>
          <w:u w:val="single"/>
        </w:rPr>
        <w:t>7</w:t>
      </w:r>
      <w:r>
        <w:rPr>
          <w:rFonts w:hint="eastAsia" w:asciiTheme="minorEastAsia" w:hAnsiTheme="minorEastAsia" w:eastAsiaTheme="minorEastAsia"/>
          <w:sz w:val="24"/>
        </w:rPr>
        <w:t>日提出异议的，视为乙方所交产品和数量等符合约定。</w:t>
      </w:r>
    </w:p>
    <w:p>
      <w:pPr>
        <w:spacing w:line="400" w:lineRule="exact"/>
        <w:ind w:right="124" w:rightChars="59" w:firstLine="600" w:firstLineChars="250"/>
        <w:rPr>
          <w:rFonts w:asciiTheme="minorEastAsia" w:hAnsiTheme="minorEastAsia" w:eastAsiaTheme="minorEastAsia"/>
          <w:bCs/>
          <w:sz w:val="24"/>
        </w:rPr>
      </w:pPr>
      <w:r>
        <w:rPr>
          <w:rFonts w:hint="eastAsia" w:asciiTheme="minorEastAsia" w:hAnsiTheme="minorEastAsia" w:eastAsiaTheme="minorEastAsia"/>
          <w:sz w:val="24"/>
        </w:rPr>
        <w:t xml:space="preserve">8.2 </w:t>
      </w:r>
      <w:r>
        <w:rPr>
          <w:rFonts w:hint="eastAsia" w:asciiTheme="minorEastAsia" w:hAnsiTheme="minorEastAsia" w:eastAsiaTheme="minorEastAsia"/>
          <w:bCs/>
          <w:sz w:val="24"/>
        </w:rPr>
        <w:t>如标的设备每批次（台）到货后（累计）</w:t>
      </w:r>
      <w:r>
        <w:rPr>
          <w:rFonts w:hint="eastAsia" w:asciiTheme="minorEastAsia" w:hAnsiTheme="minorEastAsia" w:eastAsiaTheme="minorEastAsia"/>
          <w:bCs/>
          <w:sz w:val="24"/>
          <w:u w:val="single"/>
        </w:rPr>
        <w:t>60</w:t>
      </w:r>
      <w:r>
        <w:rPr>
          <w:rFonts w:hint="eastAsia" w:asciiTheme="minorEastAsia" w:hAnsiTheme="minorEastAsia" w:eastAsiaTheme="minorEastAsia"/>
          <w:bCs/>
          <w:sz w:val="24"/>
        </w:rPr>
        <w:t>日内因甲方原因无法完成安装、特检检验的，甲方应向乙方付清所有到货标的设备合同款项，且标的设备质量保证期开始计算。</w:t>
      </w:r>
    </w:p>
    <w:p>
      <w:pPr>
        <w:spacing w:line="400" w:lineRule="exact"/>
        <w:ind w:firstLine="522" w:firstLineChars="200"/>
        <w:rPr>
          <w:rFonts w:asciiTheme="minorEastAsia" w:hAnsiTheme="minorEastAsia" w:eastAsiaTheme="minorEastAsia"/>
          <w:b/>
          <w:sz w:val="26"/>
          <w:szCs w:val="26"/>
        </w:rPr>
      </w:pPr>
      <w:r>
        <w:rPr>
          <w:rFonts w:hint="eastAsia" w:asciiTheme="minorEastAsia" w:hAnsiTheme="minorEastAsia" w:eastAsiaTheme="minorEastAsia"/>
          <w:b/>
          <w:sz w:val="26"/>
          <w:szCs w:val="26"/>
        </w:rPr>
        <w:t xml:space="preserve">9、产品安装、质量控制、保管责任： </w:t>
      </w:r>
    </w:p>
    <w:p>
      <w:pPr>
        <w:spacing w:line="400" w:lineRule="exact"/>
        <w:ind w:firstLine="720" w:firstLineChars="300"/>
        <w:rPr>
          <w:rFonts w:asciiTheme="minorEastAsia" w:hAnsiTheme="minorEastAsia" w:eastAsiaTheme="minorEastAsia"/>
          <w:sz w:val="24"/>
        </w:rPr>
      </w:pPr>
      <w:r>
        <w:rPr>
          <w:rFonts w:hint="eastAsia" w:asciiTheme="minorEastAsia" w:hAnsiTheme="minorEastAsia" w:eastAsiaTheme="minorEastAsia"/>
          <w:sz w:val="24"/>
          <w:szCs w:val="24"/>
        </w:rPr>
        <w:t>9.1本合同标的设备由</w:t>
      </w:r>
      <w:r>
        <w:rPr>
          <w:rFonts w:hint="eastAsia" w:asciiTheme="minorEastAsia" w:hAnsiTheme="minorEastAsia" w:eastAsiaTheme="minorEastAsia"/>
          <w:sz w:val="24"/>
          <w:lang w:eastAsia="zh-CN"/>
        </w:rPr>
        <w:t>乙方</w:t>
      </w:r>
      <w:r>
        <w:rPr>
          <w:rFonts w:hint="eastAsia" w:asciiTheme="minorEastAsia" w:hAnsiTheme="minorEastAsia" w:eastAsiaTheme="minorEastAsia"/>
          <w:color w:val="auto"/>
          <w:sz w:val="24"/>
          <w:lang w:eastAsia="zh-CN"/>
        </w:rPr>
        <w:t>或乙方</w:t>
      </w:r>
      <w:r>
        <w:rPr>
          <w:rFonts w:hint="eastAsia" w:asciiTheme="minorEastAsia" w:hAnsiTheme="minorEastAsia" w:eastAsiaTheme="minorEastAsia"/>
          <w:color w:val="auto"/>
          <w:spacing w:val="10"/>
          <w:sz w:val="24"/>
        </w:rPr>
        <w:t>委托、授权</w:t>
      </w:r>
      <w:r>
        <w:rPr>
          <w:rFonts w:hint="eastAsia" w:asciiTheme="minorEastAsia" w:hAnsiTheme="minorEastAsia" w:eastAsiaTheme="minorEastAsia"/>
          <w:color w:val="auto"/>
          <w:spacing w:val="10"/>
          <w:sz w:val="24"/>
          <w:lang w:eastAsia="zh-CN"/>
        </w:rPr>
        <w:t>有电梯安装资质的</w:t>
      </w:r>
      <w:r>
        <w:rPr>
          <w:rFonts w:hint="eastAsia" w:asciiTheme="minorEastAsia" w:hAnsiTheme="minorEastAsia" w:eastAsiaTheme="minorEastAsia"/>
          <w:color w:val="auto"/>
          <w:sz w:val="24"/>
          <w:lang w:eastAsia="zh-CN"/>
        </w:rPr>
        <w:t>单位负责安装（另行签订电梯安装合同），</w:t>
      </w:r>
      <w:r>
        <w:rPr>
          <w:rFonts w:hint="eastAsia" w:asciiTheme="minorEastAsia" w:hAnsiTheme="minorEastAsia" w:eastAsiaTheme="minorEastAsia"/>
          <w:color w:val="auto"/>
          <w:sz w:val="24"/>
          <w:szCs w:val="24"/>
        </w:rPr>
        <w:t>由</w:t>
      </w:r>
      <w:r>
        <w:rPr>
          <w:rFonts w:hint="eastAsia" w:asciiTheme="minorEastAsia" w:hAnsiTheme="minorEastAsia" w:eastAsiaTheme="minorEastAsia"/>
          <w:color w:val="auto"/>
          <w:sz w:val="24"/>
          <w:szCs w:val="24"/>
          <w:lang w:eastAsia="zh-CN"/>
        </w:rPr>
        <w:t>电梯安装实施方</w:t>
      </w:r>
      <w:r>
        <w:rPr>
          <w:rFonts w:hint="eastAsia" w:asciiTheme="minorEastAsia" w:hAnsiTheme="minorEastAsia" w:eastAsiaTheme="minorEastAsia"/>
          <w:color w:val="auto"/>
          <w:sz w:val="24"/>
        </w:rPr>
        <w:t>控制安装质量</w:t>
      </w:r>
      <w:r>
        <w:rPr>
          <w:rFonts w:hint="eastAsia" w:asciiTheme="minorEastAsia" w:hAnsiTheme="minorEastAsia" w:eastAsiaTheme="minorEastAsia"/>
          <w:color w:val="auto"/>
          <w:sz w:val="24"/>
          <w:lang w:eastAsia="zh-CN"/>
        </w:rPr>
        <w:t>；由乙方</w:t>
      </w:r>
      <w:r>
        <w:rPr>
          <w:rFonts w:hint="eastAsia" w:asciiTheme="minorEastAsia" w:hAnsiTheme="minorEastAsia" w:eastAsiaTheme="minorEastAsia"/>
          <w:color w:val="auto"/>
          <w:spacing w:val="10"/>
          <w:sz w:val="24"/>
        </w:rPr>
        <w:t>委托、授权的</w:t>
      </w:r>
      <w:r>
        <w:rPr>
          <w:rFonts w:hint="eastAsia" w:asciiTheme="minorEastAsia" w:hAnsiTheme="minorEastAsia" w:eastAsiaTheme="minorEastAsia"/>
          <w:color w:val="auto"/>
          <w:sz w:val="24"/>
          <w:lang w:eastAsia="zh-CN"/>
        </w:rPr>
        <w:t>单位安装的，</w:t>
      </w:r>
      <w:r>
        <w:rPr>
          <w:rFonts w:hint="eastAsia" w:asciiTheme="minorEastAsia" w:hAnsiTheme="minorEastAsia" w:eastAsiaTheme="minorEastAsia"/>
          <w:bCs/>
          <w:color w:val="auto"/>
          <w:sz w:val="24"/>
          <w:lang w:eastAsia="zh-CN"/>
        </w:rPr>
        <w:t>乙方对乙方</w:t>
      </w:r>
      <w:r>
        <w:rPr>
          <w:rFonts w:hint="eastAsia" w:asciiTheme="minorEastAsia" w:hAnsiTheme="minorEastAsia" w:eastAsiaTheme="minorEastAsia"/>
          <w:color w:val="auto"/>
          <w:spacing w:val="10"/>
          <w:sz w:val="24"/>
        </w:rPr>
        <w:t>委托、授权的</w:t>
      </w:r>
      <w:r>
        <w:rPr>
          <w:rFonts w:hint="eastAsia" w:asciiTheme="minorEastAsia" w:hAnsiTheme="minorEastAsia" w:eastAsiaTheme="minorEastAsia"/>
          <w:color w:val="auto"/>
          <w:sz w:val="24"/>
          <w:lang w:eastAsia="zh-CN"/>
        </w:rPr>
        <w:t>单位的电梯</w:t>
      </w:r>
      <w:r>
        <w:rPr>
          <w:rFonts w:hint="eastAsia" w:asciiTheme="minorEastAsia" w:hAnsiTheme="minorEastAsia" w:eastAsiaTheme="minorEastAsia"/>
          <w:bCs/>
          <w:color w:val="auto"/>
          <w:sz w:val="24"/>
          <w:lang w:eastAsia="zh-CN"/>
        </w:rPr>
        <w:t>安装质量承担连带责任</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rPr>
        <w:t>设备到达施工现场后，乙方</w:t>
      </w:r>
      <w:r>
        <w:rPr>
          <w:rFonts w:hint="eastAsia" w:asciiTheme="minorEastAsia" w:hAnsiTheme="minorEastAsia" w:eastAsiaTheme="minorEastAsia"/>
          <w:color w:val="auto"/>
          <w:sz w:val="24"/>
          <w:lang w:eastAsia="zh-CN"/>
        </w:rPr>
        <w:t>或乙方</w:t>
      </w:r>
      <w:r>
        <w:rPr>
          <w:rFonts w:hint="eastAsia" w:asciiTheme="minorEastAsia" w:hAnsiTheme="minorEastAsia" w:eastAsiaTheme="minorEastAsia"/>
          <w:color w:val="auto"/>
          <w:spacing w:val="10"/>
          <w:sz w:val="24"/>
        </w:rPr>
        <w:t>委托、授权</w:t>
      </w:r>
      <w:r>
        <w:rPr>
          <w:rFonts w:hint="eastAsia" w:asciiTheme="minorEastAsia" w:hAnsiTheme="minorEastAsia" w:eastAsiaTheme="minorEastAsia"/>
          <w:color w:val="auto"/>
          <w:spacing w:val="10"/>
          <w:sz w:val="24"/>
          <w:lang w:eastAsia="zh-CN"/>
        </w:rPr>
        <w:t>的</w:t>
      </w:r>
      <w:r>
        <w:rPr>
          <w:rFonts w:hint="eastAsia" w:asciiTheme="minorEastAsia" w:hAnsiTheme="minorEastAsia" w:eastAsiaTheme="minorEastAsia"/>
          <w:color w:val="auto"/>
          <w:sz w:val="24"/>
          <w:lang w:eastAsia="zh-CN"/>
        </w:rPr>
        <w:t>单位</w:t>
      </w:r>
      <w:r>
        <w:rPr>
          <w:rFonts w:hint="eastAsia" w:asciiTheme="minorEastAsia" w:hAnsiTheme="minorEastAsia" w:eastAsiaTheme="minorEastAsia"/>
          <w:sz w:val="24"/>
        </w:rPr>
        <w:t>在5个工作日内进</w:t>
      </w:r>
      <w:r>
        <w:rPr>
          <w:rFonts w:hint="eastAsia" w:asciiTheme="minorEastAsia" w:hAnsiTheme="minorEastAsia" w:eastAsiaTheme="minorEastAsia"/>
          <w:sz w:val="24"/>
          <w:lang w:eastAsia="zh-CN"/>
        </w:rPr>
        <w:t>场</w:t>
      </w:r>
      <w:r>
        <w:rPr>
          <w:rFonts w:hint="eastAsia" w:asciiTheme="minorEastAsia" w:hAnsiTheme="minorEastAsia" w:eastAsiaTheme="minorEastAsia"/>
          <w:sz w:val="24"/>
        </w:rPr>
        <w:t>安装，安装工期为20个工作日完成。</w:t>
      </w:r>
    </w:p>
    <w:p>
      <w:pPr>
        <w:spacing w:line="400" w:lineRule="exact"/>
        <w:ind w:firstLine="600" w:firstLineChars="250"/>
        <w:rPr>
          <w:rFonts w:asciiTheme="minorEastAsia" w:hAnsiTheme="minorEastAsia" w:eastAsiaTheme="minorEastAsia"/>
          <w:bCs/>
          <w:sz w:val="24"/>
          <w:szCs w:val="24"/>
        </w:rPr>
      </w:pPr>
      <w:r>
        <w:rPr>
          <w:rFonts w:hint="eastAsia" w:asciiTheme="minorEastAsia" w:hAnsiTheme="minorEastAsia" w:eastAsiaTheme="minorEastAsia"/>
          <w:sz w:val="24"/>
        </w:rPr>
        <w:t xml:space="preserve">9.2 </w:t>
      </w:r>
      <w:r>
        <w:rPr>
          <w:rFonts w:hint="eastAsia" w:asciiTheme="minorEastAsia" w:hAnsiTheme="minorEastAsia" w:eastAsiaTheme="minorEastAsia"/>
          <w:sz w:val="24"/>
          <w:szCs w:val="24"/>
        </w:rPr>
        <w:t>本合同标的设备由</w:t>
      </w:r>
      <w:r>
        <w:rPr>
          <w:rFonts w:hint="eastAsia" w:asciiTheme="minorEastAsia" w:hAnsiTheme="minorEastAsia" w:eastAsiaTheme="minorEastAsia"/>
          <w:sz w:val="24"/>
        </w:rPr>
        <w:t>乙方负责运输、安装</w:t>
      </w:r>
      <w:r>
        <w:rPr>
          <w:rFonts w:hint="eastAsia" w:asciiTheme="minorEastAsia" w:hAnsiTheme="minorEastAsia" w:eastAsiaTheme="minorEastAsia"/>
          <w:color w:val="auto"/>
          <w:spacing w:val="10"/>
          <w:sz w:val="24"/>
        </w:rPr>
        <w:t>或乙方委托、授权的单位安装的</w:t>
      </w:r>
      <w:r>
        <w:rPr>
          <w:rFonts w:hint="eastAsia" w:asciiTheme="minorEastAsia" w:hAnsiTheme="minorEastAsia" w:eastAsiaTheme="minorEastAsia"/>
          <w:color w:val="auto"/>
          <w:sz w:val="24"/>
        </w:rPr>
        <w:t>，</w:t>
      </w:r>
      <w:r>
        <w:rPr>
          <w:rFonts w:hint="eastAsia" w:asciiTheme="minorEastAsia" w:hAnsiTheme="minorEastAsia" w:eastAsiaTheme="minorEastAsia"/>
          <w:sz w:val="24"/>
        </w:rPr>
        <w:t>设备运输期间和到货后的保管责任由乙方承担，保管期间应妥善保管标的设备（如防潮、防盗等），甲方提供必要协助。在到货后，甲方逾期清点检验超过3工作日且不允许施工的，</w:t>
      </w:r>
      <w:r>
        <w:rPr>
          <w:rFonts w:hint="eastAsia" w:asciiTheme="minorEastAsia" w:hAnsiTheme="minorEastAsia" w:eastAsiaTheme="minorEastAsia"/>
          <w:bCs/>
          <w:sz w:val="24"/>
          <w:szCs w:val="24"/>
        </w:rPr>
        <w:t>乙方可选择书面通知甲方解除或提前终止合同，要求甲方付清所有合同款项并承担违约责任。</w:t>
      </w:r>
    </w:p>
    <w:p>
      <w:pPr>
        <w:spacing w:line="400" w:lineRule="exact"/>
        <w:ind w:firstLine="600" w:firstLineChars="250"/>
        <w:rPr>
          <w:rFonts w:hint="eastAsia" w:eastAsia="宋体" w:asciiTheme="minorEastAsia" w:hAnsiTheme="minorEastAsia"/>
          <w:bCs/>
          <w:strike w:val="0"/>
          <w:sz w:val="24"/>
          <w:szCs w:val="24"/>
          <w:lang w:eastAsia="zh-CN"/>
        </w:rPr>
      </w:pPr>
      <w:r>
        <w:rPr>
          <w:rFonts w:hint="eastAsia" w:asciiTheme="minorEastAsia" w:hAnsiTheme="minorEastAsia" w:eastAsiaTheme="minorEastAsia"/>
          <w:bCs/>
          <w:strike w:val="0"/>
          <w:dstrike w:val="0"/>
          <w:sz w:val="24"/>
          <w:szCs w:val="24"/>
        </w:rPr>
        <w:t>9.3乙方在安装电梯</w:t>
      </w:r>
      <w:r>
        <w:rPr>
          <w:rFonts w:hint="eastAsia" w:ascii="宋体" w:hAnsi="宋体"/>
          <w:strike w:val="0"/>
          <w:dstrike w:val="0"/>
          <w:sz w:val="24"/>
        </w:rPr>
        <w:t>施工期间，由乙方按国家规定及双方约定的安全标准采取安全防护措施，保证用电安全，作好防火、施工等安全工作。若因乙方防护不当造成安全事故的，由乙方自行承担全部责任。本合同履行期间乙方人员的所有用工责任、劳动争议、工伤或因乙方原因造成甲方或他方人身及财产损失均应由乙方负责，若因此造成甲方承担了赔偿责任或任何经济损失，乙方均应全额赔偿给甲方。</w:t>
      </w:r>
    </w:p>
    <w:p>
      <w:pPr>
        <w:spacing w:line="400" w:lineRule="exact"/>
        <w:ind w:firstLine="522" w:firstLineChars="200"/>
        <w:rPr>
          <w:rFonts w:asciiTheme="minorEastAsia" w:hAnsiTheme="minorEastAsia" w:eastAsiaTheme="minorEastAsia"/>
          <w:b/>
          <w:sz w:val="26"/>
          <w:szCs w:val="26"/>
        </w:rPr>
      </w:pPr>
      <w:r>
        <w:rPr>
          <w:rFonts w:hint="eastAsia" w:asciiTheme="minorEastAsia" w:hAnsiTheme="minorEastAsia" w:eastAsiaTheme="minorEastAsia"/>
          <w:b/>
          <w:sz w:val="26"/>
          <w:szCs w:val="26"/>
        </w:rPr>
        <w:t>10、标的设备质量标准、质量保证、免费保养、年检费：</w:t>
      </w:r>
    </w:p>
    <w:p>
      <w:pPr>
        <w:tabs>
          <w:tab w:val="left" w:pos="0"/>
        </w:tabs>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10.1 本合同设备质量标准按：“GB7588-2003电梯制造与安装安全规范</w:t>
      </w:r>
      <w:r>
        <w:rPr>
          <w:rFonts w:hint="eastAsia" w:asciiTheme="minorEastAsia" w:hAnsiTheme="minorEastAsia" w:eastAsiaTheme="minorEastAsia"/>
          <w:sz w:val="24"/>
          <w:szCs w:val="24"/>
        </w:rPr>
        <w:t>及国家标准第1号修改单</w:t>
      </w:r>
      <w:r>
        <w:rPr>
          <w:rFonts w:hint="eastAsia" w:asciiTheme="minorEastAsia" w:hAnsiTheme="minorEastAsia" w:eastAsiaTheme="minorEastAsia"/>
          <w:sz w:val="24"/>
        </w:rPr>
        <w:t>和GB10060-2011电梯安装验收规范”执行。</w:t>
      </w:r>
    </w:p>
    <w:p>
      <w:pPr>
        <w:tabs>
          <w:tab w:val="left" w:pos="0"/>
        </w:tabs>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10.2 </w:t>
      </w:r>
      <w:r>
        <w:rPr>
          <w:rFonts w:hint="eastAsia" w:asciiTheme="minorEastAsia" w:hAnsiTheme="minorEastAsia" w:eastAsiaTheme="minorEastAsia"/>
          <w:spacing w:val="10"/>
          <w:sz w:val="24"/>
        </w:rPr>
        <w:t>本合同产品规格、参数、功能等按国家约定执行。</w:t>
      </w:r>
    </w:p>
    <w:p>
      <w:pPr>
        <w:tabs>
          <w:tab w:val="left" w:pos="0"/>
        </w:tabs>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10.3</w:t>
      </w:r>
      <w:r>
        <w:rPr>
          <w:rFonts w:hint="eastAsia" w:asciiTheme="minorEastAsia" w:hAnsiTheme="minorEastAsia" w:eastAsiaTheme="minorEastAsia"/>
          <w:spacing w:val="10"/>
          <w:sz w:val="24"/>
        </w:rPr>
        <w:t>本合同标的设备</w:t>
      </w:r>
      <w:r>
        <w:rPr>
          <w:rFonts w:hint="eastAsia" w:asciiTheme="minorEastAsia" w:hAnsiTheme="minorEastAsia" w:eastAsiaTheme="minorEastAsia"/>
          <w:color w:val="auto"/>
          <w:spacing w:val="10"/>
          <w:sz w:val="24"/>
          <w:lang w:eastAsia="zh-CN"/>
        </w:rPr>
        <w:t>由乙方或乙方委托、授权的单位安装的，乙方均应承担电梯安装质量保证、电梯免费维保责任</w:t>
      </w:r>
      <w:r>
        <w:rPr>
          <w:rFonts w:hint="eastAsia" w:asciiTheme="minorEastAsia" w:hAnsiTheme="minorEastAsia" w:eastAsiaTheme="minorEastAsia"/>
          <w:spacing w:val="10"/>
          <w:sz w:val="24"/>
        </w:rPr>
        <w:t>。</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10.4  产品质量保证与免费维保期：</w:t>
      </w:r>
      <w:r>
        <w:rPr>
          <w:rFonts w:hint="eastAsia" w:asciiTheme="minorEastAsia" w:hAnsiTheme="minorEastAsia" w:eastAsiaTheme="minorEastAsia"/>
          <w:sz w:val="24"/>
          <w:szCs w:val="24"/>
        </w:rPr>
        <w:t>本合同标的设备</w:t>
      </w:r>
      <w:r>
        <w:rPr>
          <w:rFonts w:hint="eastAsia" w:asciiTheme="minorEastAsia" w:hAnsiTheme="minorEastAsia" w:eastAsiaTheme="minorEastAsia"/>
          <w:spacing w:val="10"/>
          <w:sz w:val="24"/>
        </w:rPr>
        <w:t>由乙方或乙方委托、授权的单位安装的</w:t>
      </w:r>
      <w:r>
        <w:rPr>
          <w:rFonts w:hint="eastAsia" w:asciiTheme="minorEastAsia" w:hAnsiTheme="minorEastAsia" w:eastAsiaTheme="minorEastAsia"/>
          <w:sz w:val="24"/>
          <w:szCs w:val="24"/>
        </w:rPr>
        <w:t>,从该标的设备经安装所在地法定特种设备检验单位（本合同均简称“特检单位”）检验合格之日起12个月（以特检单位《电梯监督检验报告》签发的日期起算</w:t>
      </w:r>
      <w:r>
        <w:rPr>
          <w:rFonts w:asciiTheme="minorEastAsia" w:hAnsiTheme="minorEastAsia" w:eastAsiaTheme="minorEastAsia"/>
          <w:sz w:val="24"/>
          <w:szCs w:val="24"/>
        </w:rPr>
        <w:t>）</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在乙方维保的前提下，主机、门机、控制柜等核心部件保质期为检验合格之日起 24 个月。因产品制造质量问题产生的损坏, 由乙方免费负责修复，但是，若因甲方使用、管理等原因造成的损坏，修复费用由甲方负责。乙方同时承担（</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12 个月）</w:t>
      </w:r>
      <w:r>
        <w:rPr>
          <w:rFonts w:hint="eastAsia" w:asciiTheme="minorEastAsia" w:hAnsiTheme="minorEastAsia" w:eastAsiaTheme="minorEastAsia"/>
          <w:sz w:val="24"/>
        </w:rPr>
        <w:t>免费保养服务，但甲方应在标的设备经特检单位检验合格后</w:t>
      </w:r>
      <w:r>
        <w:rPr>
          <w:rFonts w:asciiTheme="minorEastAsia" w:hAnsiTheme="minorEastAsia" w:eastAsiaTheme="minorEastAsia"/>
          <w:sz w:val="24"/>
          <w:u w:val="single"/>
        </w:rPr>
        <w:t>10</w:t>
      </w:r>
      <w:r>
        <w:rPr>
          <w:rFonts w:hint="eastAsia" w:asciiTheme="minorEastAsia" w:hAnsiTheme="minorEastAsia" w:eastAsiaTheme="minorEastAsia"/>
          <w:sz w:val="24"/>
        </w:rPr>
        <w:t>日内与乙方签订《电（扶）梯维保服务合同》。</w:t>
      </w:r>
    </w:p>
    <w:p>
      <w:pPr>
        <w:spacing w:line="400" w:lineRule="exact"/>
        <w:ind w:firstLine="600" w:firstLineChars="250"/>
        <w:rPr>
          <w:rFonts w:asciiTheme="minorEastAsia" w:hAnsiTheme="minorEastAsia" w:eastAsiaTheme="minorEastAsia"/>
          <w:sz w:val="24"/>
        </w:rPr>
      </w:pPr>
      <w:r>
        <w:rPr>
          <w:rFonts w:hint="eastAsia" w:asciiTheme="minorEastAsia" w:hAnsiTheme="minorEastAsia" w:eastAsiaTheme="minorEastAsia"/>
          <w:sz w:val="24"/>
        </w:rPr>
        <w:t>10.5</w:t>
      </w:r>
      <w:r>
        <w:rPr>
          <w:rFonts w:hint="eastAsia" w:ascii="宋体" w:hAnsi="宋体"/>
          <w:sz w:val="24"/>
        </w:rPr>
        <w:t>产品经特检单位检验合格后，质保（免保）期内的年检等费用由甲方负责。</w:t>
      </w:r>
    </w:p>
    <w:p>
      <w:pPr>
        <w:spacing w:line="400" w:lineRule="exact"/>
        <w:ind w:firstLine="522" w:firstLineChars="200"/>
        <w:rPr>
          <w:rFonts w:asciiTheme="minorEastAsia" w:hAnsiTheme="minorEastAsia" w:eastAsiaTheme="minorEastAsia"/>
          <w:b/>
          <w:sz w:val="26"/>
          <w:szCs w:val="26"/>
        </w:rPr>
      </w:pPr>
      <w:r>
        <w:rPr>
          <w:rFonts w:hint="eastAsia" w:asciiTheme="minorEastAsia" w:hAnsiTheme="minorEastAsia" w:eastAsiaTheme="minorEastAsia"/>
          <w:b/>
          <w:sz w:val="26"/>
          <w:szCs w:val="26"/>
        </w:rPr>
        <w:t>11、标的设备验收方式、移交：</w:t>
      </w:r>
    </w:p>
    <w:p>
      <w:pPr>
        <w:spacing w:line="400" w:lineRule="exact"/>
        <w:ind w:firstLine="600" w:firstLineChars="250"/>
        <w:rPr>
          <w:rFonts w:asciiTheme="minorEastAsia" w:hAnsiTheme="minorEastAsia" w:eastAsiaTheme="minorEastAsia"/>
          <w:sz w:val="24"/>
        </w:rPr>
      </w:pPr>
      <w:r>
        <w:rPr>
          <w:rFonts w:hint="eastAsia" w:asciiTheme="minorEastAsia" w:hAnsiTheme="minorEastAsia" w:eastAsiaTheme="minorEastAsia"/>
          <w:sz w:val="24"/>
        </w:rPr>
        <w:t>11</w:t>
      </w:r>
      <w:r>
        <w:rPr>
          <w:rFonts w:asciiTheme="minorEastAsia" w:hAnsiTheme="minorEastAsia" w:eastAsiaTheme="minorEastAsia"/>
          <w:sz w:val="24"/>
        </w:rPr>
        <w:t xml:space="preserve">.1 </w:t>
      </w:r>
      <w:r>
        <w:rPr>
          <w:rFonts w:hint="eastAsia" w:asciiTheme="minorEastAsia" w:hAnsiTheme="minorEastAsia" w:eastAsiaTheme="minorEastAsia"/>
          <w:sz w:val="24"/>
        </w:rPr>
        <w:t>本合同验收标准参照本合同第</w:t>
      </w:r>
      <w:r>
        <w:rPr>
          <w:rFonts w:hint="eastAsia" w:asciiTheme="minorEastAsia" w:hAnsiTheme="minorEastAsia" w:eastAsiaTheme="minorEastAsia"/>
          <w:sz w:val="24"/>
          <w:u w:val="single"/>
        </w:rPr>
        <w:t>10</w:t>
      </w:r>
      <w:r>
        <w:rPr>
          <w:rFonts w:hint="eastAsia" w:asciiTheme="minorEastAsia" w:hAnsiTheme="minorEastAsia" w:eastAsiaTheme="minorEastAsia"/>
          <w:sz w:val="24"/>
        </w:rPr>
        <w:t>条的约定执行。</w:t>
      </w:r>
    </w:p>
    <w:p>
      <w:pPr>
        <w:spacing w:line="4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rPr>
        <w:t>11.2 本合同设备</w:t>
      </w:r>
      <w:r>
        <w:rPr>
          <w:rFonts w:hint="eastAsia" w:asciiTheme="minorEastAsia" w:hAnsiTheme="minorEastAsia" w:eastAsiaTheme="minorEastAsia"/>
          <w:spacing w:val="10"/>
          <w:sz w:val="24"/>
          <w:szCs w:val="24"/>
        </w:rPr>
        <w:t>在出货前均需乙方进行出厂检验，并出具合格证</w:t>
      </w:r>
      <w:r>
        <w:rPr>
          <w:rFonts w:hint="eastAsia" w:asciiTheme="minorEastAsia" w:hAnsiTheme="minorEastAsia" w:eastAsiaTheme="minorEastAsia"/>
          <w:sz w:val="24"/>
          <w:szCs w:val="24"/>
        </w:rPr>
        <w:t>。</w:t>
      </w:r>
    </w:p>
    <w:p>
      <w:pPr>
        <w:spacing w:line="400" w:lineRule="exact"/>
        <w:ind w:firstLine="600" w:firstLineChars="250"/>
        <w:rPr>
          <w:rFonts w:asciiTheme="minorEastAsia" w:hAnsiTheme="minorEastAsia" w:eastAsiaTheme="minorEastAsia"/>
          <w:sz w:val="24"/>
        </w:rPr>
      </w:pPr>
      <w:r>
        <w:rPr>
          <w:rFonts w:hint="eastAsia" w:asciiTheme="minorEastAsia" w:hAnsiTheme="minorEastAsia" w:eastAsiaTheme="minorEastAsia"/>
          <w:sz w:val="24"/>
        </w:rPr>
        <w:t>11</w:t>
      </w:r>
      <w:r>
        <w:rPr>
          <w:rFonts w:asciiTheme="minorEastAsia" w:hAnsiTheme="minorEastAsia" w:eastAsiaTheme="minorEastAsia"/>
          <w:sz w:val="24"/>
        </w:rPr>
        <w:t xml:space="preserve">.3 </w:t>
      </w:r>
      <w:r>
        <w:rPr>
          <w:rFonts w:hint="eastAsia" w:asciiTheme="minorEastAsia" w:hAnsiTheme="minorEastAsia" w:eastAsiaTheme="minorEastAsia"/>
          <w:sz w:val="24"/>
        </w:rPr>
        <w:t>验收方式：采用安装所在地法定特种设备检验单位监督检验的方式，标的设备经前述机构</w:t>
      </w:r>
      <w:r>
        <w:rPr>
          <w:rFonts w:hint="eastAsia" w:ascii="宋体" w:hAnsi="宋体"/>
          <w:sz w:val="24"/>
        </w:rPr>
        <w:t>（或乙</w:t>
      </w:r>
      <w:r>
        <w:rPr>
          <w:rFonts w:ascii="宋体" w:hAnsi="宋体"/>
          <w:sz w:val="24"/>
        </w:rPr>
        <w:t>方厂检）</w:t>
      </w:r>
      <w:r>
        <w:rPr>
          <w:rFonts w:hint="eastAsia" w:asciiTheme="minorEastAsia" w:hAnsiTheme="minorEastAsia" w:eastAsiaTheme="minorEastAsia"/>
          <w:sz w:val="24"/>
        </w:rPr>
        <w:t>检验合格并出具检验报告，即视为产品符合约定。</w:t>
      </w:r>
    </w:p>
    <w:p>
      <w:pPr>
        <w:spacing w:line="400" w:lineRule="exact"/>
        <w:ind w:firstLine="600" w:firstLineChars="250"/>
        <w:rPr>
          <w:rFonts w:asciiTheme="minorEastAsia" w:hAnsiTheme="minorEastAsia" w:eastAsiaTheme="minorEastAsia"/>
          <w:sz w:val="24"/>
        </w:rPr>
      </w:pPr>
      <w:r>
        <w:rPr>
          <w:rFonts w:hint="eastAsia" w:asciiTheme="minorEastAsia" w:hAnsiTheme="minorEastAsia" w:eastAsiaTheme="minorEastAsia"/>
          <w:sz w:val="24"/>
        </w:rPr>
        <w:t>11.4 标的设备资料移交：经安装所在地特检单位检验认定合格并出具检验报告后，乙方向甲方移交</w:t>
      </w:r>
      <w:r>
        <w:rPr>
          <w:rFonts w:asciiTheme="minorEastAsia" w:hAnsiTheme="minorEastAsia" w:eastAsiaTheme="minorEastAsia"/>
          <w:sz w:val="24"/>
        </w:rPr>
        <w:t>保管、</w:t>
      </w:r>
      <w:r>
        <w:rPr>
          <w:rFonts w:hint="eastAsia" w:asciiTheme="minorEastAsia" w:hAnsiTheme="minorEastAsia" w:eastAsiaTheme="minorEastAsia"/>
          <w:sz w:val="24"/>
        </w:rPr>
        <w:t>检验报告、随</w:t>
      </w:r>
      <w:r>
        <w:rPr>
          <w:rFonts w:asciiTheme="minorEastAsia" w:hAnsiTheme="minorEastAsia" w:eastAsiaTheme="minorEastAsia"/>
          <w:sz w:val="24"/>
        </w:rPr>
        <w:t>机资料</w:t>
      </w:r>
      <w:r>
        <w:rPr>
          <w:rFonts w:hint="eastAsia" w:asciiTheme="minorEastAsia" w:hAnsiTheme="minorEastAsia" w:eastAsiaTheme="minorEastAsia"/>
          <w:sz w:val="24"/>
        </w:rPr>
        <w:t>、临时</w:t>
      </w:r>
      <w:r>
        <w:rPr>
          <w:rFonts w:asciiTheme="minorEastAsia" w:hAnsiTheme="minorEastAsia" w:eastAsiaTheme="minorEastAsia"/>
          <w:sz w:val="24"/>
        </w:rPr>
        <w:t>使用钥匙等</w:t>
      </w:r>
      <w:r>
        <w:rPr>
          <w:rFonts w:hint="eastAsia" w:asciiTheme="minorEastAsia" w:hAnsiTheme="minorEastAsia" w:eastAsiaTheme="minorEastAsia"/>
          <w:sz w:val="24"/>
        </w:rPr>
        <w:t>，甲方须付清约定款项及安装单位的安装款项。乙方收款后向甲方移交合同设备（产</w:t>
      </w:r>
      <w:r>
        <w:rPr>
          <w:rFonts w:asciiTheme="minorEastAsia" w:hAnsiTheme="minorEastAsia" w:eastAsiaTheme="minorEastAsia"/>
          <w:sz w:val="24"/>
        </w:rPr>
        <w:t>权</w:t>
      </w:r>
      <w:r>
        <w:rPr>
          <w:rFonts w:hint="eastAsia" w:asciiTheme="minorEastAsia" w:hAnsiTheme="minorEastAsia" w:eastAsiaTheme="minorEastAsia"/>
          <w:sz w:val="24"/>
        </w:rPr>
        <w:t>）、全</w:t>
      </w:r>
      <w:r>
        <w:rPr>
          <w:rFonts w:asciiTheme="minorEastAsia" w:hAnsiTheme="minorEastAsia" w:eastAsiaTheme="minorEastAsia"/>
          <w:sz w:val="24"/>
        </w:rPr>
        <w:t>部</w:t>
      </w:r>
      <w:r>
        <w:rPr>
          <w:rFonts w:hint="eastAsia" w:asciiTheme="minorEastAsia" w:hAnsiTheme="minorEastAsia" w:eastAsiaTheme="minorEastAsia"/>
          <w:sz w:val="24"/>
        </w:rPr>
        <w:t>钥匙等。</w:t>
      </w:r>
    </w:p>
    <w:p>
      <w:pPr>
        <w:spacing w:line="400" w:lineRule="exact"/>
        <w:ind w:left="1" w:firstLine="600" w:firstLineChars="250"/>
        <w:rPr>
          <w:rFonts w:asciiTheme="minorEastAsia" w:hAnsiTheme="minorEastAsia" w:eastAsiaTheme="minorEastAsia"/>
          <w:sz w:val="24"/>
        </w:rPr>
      </w:pPr>
      <w:r>
        <w:rPr>
          <w:rFonts w:hint="eastAsia" w:asciiTheme="minorEastAsia" w:hAnsiTheme="minorEastAsia" w:eastAsiaTheme="minorEastAsia"/>
          <w:sz w:val="24"/>
        </w:rPr>
        <w:t>11.5 所有权转移：合同标的设备所有权自</w:t>
      </w:r>
      <w:r>
        <w:rPr>
          <w:rFonts w:hint="eastAsia" w:asciiTheme="minorEastAsia" w:hAnsiTheme="minorEastAsia" w:eastAsiaTheme="minorEastAsia" w:cstheme="minorEastAsia"/>
          <w:sz w:val="24"/>
          <w:szCs w:val="24"/>
        </w:rPr>
        <w:t>甲方付清乙方所有合同款项（不含质保金）之日起向甲方转移。</w:t>
      </w:r>
    </w:p>
    <w:p>
      <w:pPr>
        <w:tabs>
          <w:tab w:val="left" w:pos="800"/>
        </w:tabs>
        <w:spacing w:line="400" w:lineRule="exact"/>
        <w:ind w:left="1" w:firstLine="600" w:firstLineChars="250"/>
        <w:rPr>
          <w:rFonts w:asciiTheme="minorEastAsia" w:hAnsiTheme="minorEastAsia" w:eastAsiaTheme="minorEastAsia"/>
          <w:sz w:val="24"/>
        </w:rPr>
      </w:pPr>
      <w:r>
        <w:rPr>
          <w:rFonts w:hint="eastAsia" w:asciiTheme="minorEastAsia" w:hAnsiTheme="minorEastAsia" w:eastAsiaTheme="minorEastAsia"/>
          <w:sz w:val="24"/>
        </w:rPr>
        <w:t>11.6 依据相关规定，在标的设备经特检单位监督检验合格且取得报告前，甲方不得以任何理由要求交付、临时使用电梯，在甲方负责保管期间，不得擅自开启标的设备，否则由此产生的责任由违约方自行承担。若违约方给守约方造成损失的，守约方有权追偿。</w:t>
      </w:r>
    </w:p>
    <w:p>
      <w:pPr>
        <w:spacing w:line="400" w:lineRule="exact"/>
        <w:ind w:firstLine="522" w:firstLineChars="200"/>
        <w:rPr>
          <w:rFonts w:asciiTheme="minorEastAsia" w:hAnsiTheme="minorEastAsia" w:eastAsiaTheme="minorEastAsia"/>
          <w:b/>
          <w:sz w:val="26"/>
          <w:szCs w:val="26"/>
        </w:rPr>
      </w:pPr>
      <w:r>
        <w:rPr>
          <w:rFonts w:asciiTheme="minorEastAsia" w:hAnsiTheme="minorEastAsia" w:eastAsiaTheme="minorEastAsia"/>
          <w:b/>
          <w:sz w:val="26"/>
          <w:szCs w:val="26"/>
        </w:rPr>
        <w:t>1</w:t>
      </w:r>
      <w:r>
        <w:rPr>
          <w:rFonts w:hint="eastAsia" w:asciiTheme="minorEastAsia" w:hAnsiTheme="minorEastAsia" w:eastAsiaTheme="minorEastAsia"/>
          <w:b/>
          <w:sz w:val="26"/>
          <w:szCs w:val="26"/>
        </w:rPr>
        <w:t>2、违约责任：</w:t>
      </w:r>
    </w:p>
    <w:p>
      <w:pPr>
        <w:spacing w:line="400" w:lineRule="exact"/>
        <w:ind w:firstLine="600" w:firstLineChars="250"/>
        <w:rPr>
          <w:rFonts w:asciiTheme="minorEastAsia" w:hAnsiTheme="minorEastAsia" w:eastAsiaTheme="minorEastAsia"/>
          <w:sz w:val="24"/>
        </w:rPr>
      </w:pPr>
      <w:r>
        <w:rPr>
          <w:rFonts w:hint="eastAsia" w:asciiTheme="minorEastAsia" w:hAnsiTheme="minorEastAsia" w:eastAsiaTheme="minorEastAsia"/>
          <w:sz w:val="24"/>
        </w:rPr>
        <w:t>12.1 乙方未按合同约定日期排产、交货</w:t>
      </w:r>
      <w:r>
        <w:rPr>
          <w:rFonts w:hint="eastAsia" w:asciiTheme="minorEastAsia" w:hAnsiTheme="minorEastAsia" w:eastAsiaTheme="minorEastAsia"/>
          <w:sz w:val="24"/>
          <w:lang w:eastAsia="zh-CN"/>
        </w:rPr>
        <w:t>、安装，</w:t>
      </w:r>
      <w:r>
        <w:rPr>
          <w:rFonts w:hint="eastAsia" w:asciiTheme="minorEastAsia" w:hAnsiTheme="minorEastAsia" w:eastAsiaTheme="minorEastAsia"/>
          <w:color w:val="auto"/>
          <w:spacing w:val="10"/>
          <w:sz w:val="24"/>
        </w:rPr>
        <w:t>或乙方委托、授权的单位</w:t>
      </w:r>
      <w:r>
        <w:rPr>
          <w:rFonts w:hint="eastAsia" w:asciiTheme="minorEastAsia" w:hAnsiTheme="minorEastAsia" w:eastAsiaTheme="minorEastAsia"/>
          <w:color w:val="auto"/>
          <w:spacing w:val="10"/>
          <w:sz w:val="24"/>
          <w:lang w:eastAsia="zh-CN"/>
        </w:rPr>
        <w:t>未按合同约定日期</w:t>
      </w:r>
      <w:r>
        <w:rPr>
          <w:rFonts w:hint="eastAsia" w:asciiTheme="minorEastAsia" w:hAnsiTheme="minorEastAsia" w:eastAsiaTheme="minorEastAsia"/>
          <w:color w:val="auto"/>
          <w:spacing w:val="10"/>
          <w:sz w:val="24"/>
        </w:rPr>
        <w:t>安装</w:t>
      </w:r>
      <w:r>
        <w:rPr>
          <w:rFonts w:hint="eastAsia" w:asciiTheme="minorEastAsia" w:hAnsiTheme="minorEastAsia" w:eastAsiaTheme="minorEastAsia"/>
          <w:color w:val="auto"/>
          <w:spacing w:val="10"/>
          <w:sz w:val="24"/>
          <w:lang w:eastAsia="zh-CN"/>
        </w:rPr>
        <w:t>的</w:t>
      </w:r>
      <w:r>
        <w:rPr>
          <w:rFonts w:hint="eastAsia" w:asciiTheme="minorEastAsia" w:hAnsiTheme="minorEastAsia" w:eastAsiaTheme="minorEastAsia"/>
          <w:sz w:val="24"/>
        </w:rPr>
        <w:t>，在30日以内的，每逾期一日，违</w:t>
      </w:r>
      <w:r>
        <w:rPr>
          <w:rFonts w:asciiTheme="minorEastAsia" w:hAnsiTheme="minorEastAsia" w:eastAsiaTheme="minorEastAsia"/>
          <w:sz w:val="24"/>
        </w:rPr>
        <w:t>约方</w:t>
      </w:r>
      <w:r>
        <w:rPr>
          <w:rFonts w:hint="eastAsia" w:asciiTheme="minorEastAsia" w:hAnsiTheme="minorEastAsia" w:eastAsiaTheme="minorEastAsia"/>
          <w:sz w:val="24"/>
        </w:rPr>
        <w:t>应向守约方按总金额年利率</w:t>
      </w:r>
      <w:r>
        <w:rPr>
          <w:rFonts w:hint="eastAsia" w:asciiTheme="minorEastAsia" w:hAnsiTheme="minorEastAsia" w:eastAsiaTheme="minorEastAsia"/>
          <w:sz w:val="24"/>
          <w:u w:val="single"/>
        </w:rPr>
        <w:t>6</w:t>
      </w:r>
      <w:r>
        <w:rPr>
          <w:rFonts w:hint="eastAsia" w:asciiTheme="minorEastAsia" w:hAnsiTheme="minorEastAsia" w:eastAsiaTheme="minorEastAsia"/>
          <w:sz w:val="24"/>
        </w:rPr>
        <w:t>%的标准支付资金占用利息，超过30日以上的，每逾期一日，违</w:t>
      </w:r>
      <w:r>
        <w:rPr>
          <w:rFonts w:asciiTheme="minorEastAsia" w:hAnsiTheme="minorEastAsia" w:eastAsiaTheme="minorEastAsia"/>
          <w:sz w:val="24"/>
        </w:rPr>
        <w:t>约方</w:t>
      </w:r>
      <w:r>
        <w:rPr>
          <w:rFonts w:hint="eastAsia" w:asciiTheme="minorEastAsia" w:hAnsiTheme="minorEastAsia" w:eastAsiaTheme="minorEastAsia"/>
          <w:sz w:val="24"/>
        </w:rPr>
        <w:t>应向守约方按总金额4倍LPR的标准支付资金占用利息；一</w:t>
      </w:r>
      <w:r>
        <w:rPr>
          <w:rFonts w:asciiTheme="minorEastAsia" w:hAnsiTheme="minorEastAsia" w:eastAsiaTheme="minorEastAsia"/>
          <w:sz w:val="24"/>
        </w:rPr>
        <w:t>方违约超过</w:t>
      </w:r>
      <w:r>
        <w:rPr>
          <w:rFonts w:hint="eastAsia" w:asciiTheme="minorEastAsia" w:hAnsiTheme="minorEastAsia" w:eastAsiaTheme="minorEastAsia"/>
          <w:sz w:val="24"/>
        </w:rPr>
        <w:t>30日</w:t>
      </w:r>
      <w:r>
        <w:rPr>
          <w:rFonts w:asciiTheme="minorEastAsia" w:hAnsiTheme="minorEastAsia" w:eastAsiaTheme="minorEastAsia"/>
          <w:sz w:val="24"/>
        </w:rPr>
        <w:t>的，</w:t>
      </w:r>
      <w:r>
        <w:rPr>
          <w:rFonts w:hint="eastAsia" w:asciiTheme="minorEastAsia" w:hAnsiTheme="minorEastAsia" w:eastAsiaTheme="minorEastAsia"/>
          <w:sz w:val="24"/>
        </w:rPr>
        <w:t>守</w:t>
      </w:r>
      <w:r>
        <w:rPr>
          <w:rFonts w:asciiTheme="minorEastAsia" w:hAnsiTheme="minorEastAsia" w:eastAsiaTheme="minorEastAsia"/>
          <w:sz w:val="24"/>
        </w:rPr>
        <w:t>约方有权解除或提前终止</w:t>
      </w:r>
      <w:r>
        <w:rPr>
          <w:rFonts w:hint="eastAsia" w:asciiTheme="minorEastAsia" w:hAnsiTheme="minorEastAsia" w:eastAsiaTheme="minorEastAsia"/>
          <w:sz w:val="24"/>
        </w:rPr>
        <w:t>合同</w:t>
      </w:r>
      <w:r>
        <w:rPr>
          <w:rFonts w:asciiTheme="minorEastAsia" w:hAnsiTheme="minorEastAsia" w:eastAsiaTheme="minorEastAsia"/>
          <w:sz w:val="24"/>
        </w:rPr>
        <w:t>。</w:t>
      </w:r>
    </w:p>
    <w:p>
      <w:pPr>
        <w:spacing w:line="400" w:lineRule="exact"/>
        <w:ind w:firstLine="600" w:firstLineChars="250"/>
        <w:rPr>
          <w:rFonts w:asciiTheme="minorEastAsia" w:hAnsiTheme="minorEastAsia" w:eastAsiaTheme="minorEastAsia"/>
          <w:sz w:val="24"/>
        </w:rPr>
      </w:pPr>
      <w:r>
        <w:rPr>
          <w:rFonts w:hint="eastAsia" w:asciiTheme="minorEastAsia" w:hAnsiTheme="minorEastAsia" w:eastAsiaTheme="minorEastAsia"/>
          <w:sz w:val="24"/>
        </w:rPr>
        <w:t>甲方未按合同约定付款的，在30日以内的，每逾期一日，违</w:t>
      </w:r>
      <w:r>
        <w:rPr>
          <w:rFonts w:asciiTheme="minorEastAsia" w:hAnsiTheme="minorEastAsia" w:eastAsiaTheme="minorEastAsia"/>
          <w:sz w:val="24"/>
        </w:rPr>
        <w:t>约方</w:t>
      </w:r>
      <w:r>
        <w:rPr>
          <w:rFonts w:hint="eastAsia" w:asciiTheme="minorEastAsia" w:hAnsiTheme="minorEastAsia" w:eastAsiaTheme="minorEastAsia"/>
          <w:sz w:val="24"/>
        </w:rPr>
        <w:t>应向守约方按应付未付金额的年利率</w:t>
      </w:r>
      <w:r>
        <w:rPr>
          <w:rFonts w:hint="eastAsia" w:asciiTheme="minorEastAsia" w:hAnsiTheme="minorEastAsia" w:eastAsiaTheme="minorEastAsia"/>
          <w:sz w:val="24"/>
          <w:u w:val="single"/>
        </w:rPr>
        <w:t>6</w:t>
      </w:r>
      <w:r>
        <w:rPr>
          <w:rFonts w:hint="eastAsia" w:asciiTheme="minorEastAsia" w:hAnsiTheme="minorEastAsia" w:eastAsiaTheme="minorEastAsia"/>
          <w:sz w:val="24"/>
        </w:rPr>
        <w:t>%的标准支付资金占用利息，超过30日以上的，每逾期一日，违</w:t>
      </w:r>
      <w:r>
        <w:rPr>
          <w:rFonts w:asciiTheme="minorEastAsia" w:hAnsiTheme="minorEastAsia" w:eastAsiaTheme="minorEastAsia"/>
          <w:sz w:val="24"/>
        </w:rPr>
        <w:t>约方</w:t>
      </w:r>
      <w:r>
        <w:rPr>
          <w:rFonts w:hint="eastAsia" w:asciiTheme="minorEastAsia" w:hAnsiTheme="minorEastAsia" w:eastAsiaTheme="minorEastAsia"/>
          <w:sz w:val="24"/>
        </w:rPr>
        <w:t>应向守约方按应付未付金额4倍LPR的标准支付资金占用利息； 一</w:t>
      </w:r>
      <w:r>
        <w:rPr>
          <w:rFonts w:asciiTheme="minorEastAsia" w:hAnsiTheme="minorEastAsia" w:eastAsiaTheme="minorEastAsia"/>
          <w:sz w:val="24"/>
        </w:rPr>
        <w:t>方违约超过</w:t>
      </w:r>
      <w:r>
        <w:rPr>
          <w:rFonts w:hint="eastAsia" w:asciiTheme="minorEastAsia" w:hAnsiTheme="minorEastAsia" w:eastAsiaTheme="minorEastAsia"/>
          <w:sz w:val="24"/>
        </w:rPr>
        <w:t>30日</w:t>
      </w:r>
      <w:r>
        <w:rPr>
          <w:rFonts w:asciiTheme="minorEastAsia" w:hAnsiTheme="minorEastAsia" w:eastAsiaTheme="minorEastAsia"/>
          <w:sz w:val="24"/>
        </w:rPr>
        <w:t>的，</w:t>
      </w:r>
      <w:r>
        <w:rPr>
          <w:rFonts w:hint="eastAsia" w:asciiTheme="minorEastAsia" w:hAnsiTheme="minorEastAsia" w:eastAsiaTheme="minorEastAsia"/>
          <w:sz w:val="24"/>
        </w:rPr>
        <w:t>守</w:t>
      </w:r>
      <w:r>
        <w:rPr>
          <w:rFonts w:asciiTheme="minorEastAsia" w:hAnsiTheme="minorEastAsia" w:eastAsiaTheme="minorEastAsia"/>
          <w:sz w:val="24"/>
        </w:rPr>
        <w:t>约方有权解除或提前终止</w:t>
      </w:r>
      <w:r>
        <w:rPr>
          <w:rFonts w:hint="eastAsia" w:asciiTheme="minorEastAsia" w:hAnsiTheme="minorEastAsia" w:eastAsiaTheme="minorEastAsia"/>
          <w:sz w:val="24"/>
        </w:rPr>
        <w:t>合同</w:t>
      </w:r>
      <w:r>
        <w:rPr>
          <w:rFonts w:asciiTheme="minorEastAsia" w:hAnsiTheme="minorEastAsia" w:eastAsiaTheme="minorEastAsia"/>
          <w:sz w:val="24"/>
        </w:rPr>
        <w:t>。</w:t>
      </w:r>
    </w:p>
    <w:p>
      <w:pPr>
        <w:spacing w:line="400" w:lineRule="exact"/>
        <w:ind w:firstLine="600" w:firstLineChars="25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w:t>
      </w:r>
      <w:r>
        <w:rPr>
          <w:rFonts w:asciiTheme="minorEastAsia" w:hAnsiTheme="minorEastAsia" w:eastAsiaTheme="minorEastAsia"/>
          <w:sz w:val="24"/>
        </w:rPr>
        <w:t>.2</w:t>
      </w:r>
      <w:r>
        <w:rPr>
          <w:rFonts w:hint="eastAsia" w:asciiTheme="minorEastAsia" w:hAnsiTheme="minorEastAsia" w:eastAsiaTheme="minorEastAsia"/>
          <w:sz w:val="24"/>
        </w:rPr>
        <w:t xml:space="preserve"> 合同生效后，除不可抗力（战争、暴乱、地震、水灾、山崩、暴风雪、交通阻断及国家政策因素等）可以提前解除、终止合同外，任何一方违反本合同约定提前解除或终止合同（或违约导致守约方提前解除、终止合同）的，违约方除应当向守约方赔偿损失外，还应支付本合同总金额</w:t>
      </w:r>
      <w:r>
        <w:rPr>
          <w:rFonts w:hint="eastAsia" w:asciiTheme="minorEastAsia" w:hAnsiTheme="minorEastAsia" w:eastAsiaTheme="minorEastAsia"/>
          <w:sz w:val="24"/>
          <w:u w:val="single"/>
        </w:rPr>
        <w:t>20</w:t>
      </w:r>
      <w:r>
        <w:rPr>
          <w:rFonts w:hint="eastAsia" w:asciiTheme="minorEastAsia" w:hAnsiTheme="minorEastAsia" w:eastAsiaTheme="minorEastAsia"/>
          <w:sz w:val="24"/>
        </w:rPr>
        <w:t>%的违约金。</w:t>
      </w:r>
    </w:p>
    <w:p>
      <w:pPr>
        <w:spacing w:line="400" w:lineRule="exact"/>
        <w:ind w:firstLine="650" w:firstLineChars="250"/>
        <w:rPr>
          <w:rFonts w:asciiTheme="minorEastAsia" w:hAnsiTheme="minorEastAsia" w:eastAsiaTheme="minorEastAsia"/>
          <w:spacing w:val="10"/>
          <w:sz w:val="24"/>
        </w:rPr>
      </w:pPr>
      <w:r>
        <w:rPr>
          <w:rFonts w:hint="eastAsia" w:asciiTheme="minorEastAsia" w:hAnsiTheme="minorEastAsia" w:eastAsiaTheme="minorEastAsia"/>
          <w:spacing w:val="10"/>
          <w:sz w:val="24"/>
        </w:rPr>
        <w:t>12.3 双方均不得就任何可能的间接损失向对方提出主张。甲、乙双方任何一方违反本合同的，除按照本合同的约定赔偿损失并承担违约责任外，还应支付守约方为解决争议及实现争议权益而付出的所有费用（包括但不限于：调查费、人工费、差旅费、律师费（按国家相关部门的指导价格为参照）、诉讼费、仲裁费、鉴定费用等）。</w:t>
      </w:r>
    </w:p>
    <w:p>
      <w:pPr>
        <w:spacing w:line="400" w:lineRule="exact"/>
        <w:ind w:left="420" w:leftChars="200" w:firstLine="260" w:firstLineChars="100"/>
        <w:rPr>
          <w:rFonts w:asciiTheme="minorEastAsia" w:hAnsiTheme="minorEastAsia" w:eastAsiaTheme="minorEastAsia" w:cstheme="minorEastAsia"/>
          <w:sz w:val="24"/>
          <w:szCs w:val="24"/>
        </w:rPr>
      </w:pPr>
      <w:r>
        <w:rPr>
          <w:rFonts w:hint="eastAsia" w:asciiTheme="minorEastAsia" w:hAnsiTheme="minorEastAsia" w:eastAsiaTheme="minorEastAsia"/>
          <w:spacing w:val="10"/>
          <w:sz w:val="24"/>
        </w:rPr>
        <w:t>12.4</w:t>
      </w:r>
      <w:r>
        <w:rPr>
          <w:rFonts w:hint="eastAsia" w:asciiTheme="minorEastAsia" w:hAnsiTheme="minorEastAsia" w:eastAsiaTheme="minorEastAsia" w:cstheme="minorEastAsia"/>
          <w:sz w:val="24"/>
          <w:szCs w:val="24"/>
        </w:rPr>
        <w:t>若电梯质量不符合合同约定的标准和要求（包括质量监督检验机构检测不符合要求或</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甲方验收不符合要求等），每出现一个检验项目或指标不符合要求，乙方应按甲方要求整改修复至符合要求并承担所有费用，排产期不予延长。</w:t>
      </w:r>
    </w:p>
    <w:p>
      <w:pPr>
        <w:spacing w:line="400" w:lineRule="exact"/>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12.5 如电梯存在质量或安全问题，且乙方未能按甲方要求及时更换或修复，则甲方有权直接安排第三方修复，因此产生的费用经甲方确认即生效，由乙方全部承担，同时，乙方还应按照甲方委托第三方维修总价的30%向甲方支付违约金，并赔偿甲方损失，且因此造成相关工作逾期的责任由乙方承担。</w:t>
      </w:r>
    </w:p>
    <w:p>
      <w:pPr>
        <w:spacing w:line="400" w:lineRule="exact"/>
        <w:ind w:firstLine="522" w:firstLineChars="200"/>
        <w:rPr>
          <w:rFonts w:asciiTheme="minorEastAsia" w:hAnsiTheme="minorEastAsia" w:eastAsiaTheme="minorEastAsia"/>
          <w:b/>
          <w:sz w:val="26"/>
          <w:szCs w:val="26"/>
        </w:rPr>
      </w:pPr>
      <w:r>
        <w:rPr>
          <w:rFonts w:asciiTheme="minorEastAsia" w:hAnsiTheme="minorEastAsia" w:eastAsiaTheme="minorEastAsia"/>
          <w:b/>
          <w:sz w:val="26"/>
          <w:szCs w:val="26"/>
        </w:rPr>
        <w:t>1</w:t>
      </w:r>
      <w:r>
        <w:rPr>
          <w:rFonts w:hint="eastAsia" w:asciiTheme="minorEastAsia" w:hAnsiTheme="minorEastAsia" w:eastAsiaTheme="minorEastAsia"/>
          <w:b/>
          <w:sz w:val="26"/>
          <w:szCs w:val="26"/>
        </w:rPr>
        <w:t>3、其它约定：</w:t>
      </w:r>
    </w:p>
    <w:p>
      <w:pPr>
        <w:spacing w:line="400" w:lineRule="exact"/>
        <w:ind w:firstLine="600" w:firstLineChars="25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3</w:t>
      </w:r>
      <w:r>
        <w:rPr>
          <w:rFonts w:asciiTheme="minorEastAsia" w:hAnsiTheme="minorEastAsia" w:eastAsiaTheme="minorEastAsia"/>
          <w:sz w:val="24"/>
        </w:rPr>
        <w:t>.1</w:t>
      </w:r>
      <w:r>
        <w:rPr>
          <w:rFonts w:hint="eastAsia" w:asciiTheme="minorEastAsia" w:hAnsiTheme="minorEastAsia" w:eastAsiaTheme="minorEastAsia"/>
          <w:sz w:val="24"/>
        </w:rPr>
        <w:t xml:space="preserve"> 本合同自签订之日起计算，如果超过</w:t>
      </w:r>
      <w:r>
        <w:rPr>
          <w:rFonts w:hint="eastAsia" w:asciiTheme="minorEastAsia" w:hAnsiTheme="minorEastAsia" w:eastAsiaTheme="minorEastAsia"/>
          <w:sz w:val="24"/>
          <w:u w:val="single"/>
        </w:rPr>
        <w:t>18个</w:t>
      </w:r>
      <w:r>
        <w:rPr>
          <w:rFonts w:hint="eastAsia" w:asciiTheme="minorEastAsia" w:hAnsiTheme="minorEastAsia" w:eastAsiaTheme="minorEastAsia"/>
          <w:sz w:val="24"/>
        </w:rPr>
        <w:t>月甲方未能提货，乙方有权根据当前市场价格对电梯合同价格进行调整，以此降低因为物价上涨带来的风险。</w:t>
      </w:r>
    </w:p>
    <w:p>
      <w:pPr>
        <w:spacing w:line="400" w:lineRule="exact"/>
        <w:ind w:firstLine="600" w:firstLineChars="25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sz w:val="24"/>
        </w:rPr>
        <w:t>2 本合同所有附件、补充协议均为本合同不可分割之部分，与合同正本具有同等法律效力。双方因本合同往来的书面承诺、协议、函件的扫描件、复印件、传真件与原件具有同等法律效力。</w:t>
      </w:r>
    </w:p>
    <w:p>
      <w:pPr>
        <w:spacing w:line="400" w:lineRule="exact"/>
        <w:ind w:firstLine="600" w:firstLineChars="25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sz w:val="24"/>
        </w:rPr>
        <w:t>3 甲乙双方因本合同产生争议且协商解决不成的，交由甲方所在地人民法院裁决。</w:t>
      </w:r>
    </w:p>
    <w:p>
      <w:pPr>
        <w:spacing w:line="400" w:lineRule="exact"/>
        <w:ind w:firstLine="600" w:firstLineChars="250"/>
        <w:rPr>
          <w:rFonts w:asciiTheme="minorEastAsia" w:hAnsiTheme="minorEastAsia" w:eastAsiaTheme="minorEastAsia"/>
          <w:bCs/>
          <w:sz w:val="24"/>
        </w:rPr>
      </w:pPr>
      <w:r>
        <w:rPr>
          <w:rFonts w:hint="eastAsia" w:asciiTheme="minorEastAsia" w:hAnsiTheme="minorEastAsia" w:eastAsiaTheme="minorEastAsia"/>
          <w:sz w:val="24"/>
        </w:rPr>
        <w:t xml:space="preserve">13.4 </w:t>
      </w:r>
      <w:r>
        <w:rPr>
          <w:rFonts w:hint="eastAsia" w:asciiTheme="minorEastAsia" w:hAnsiTheme="minorEastAsia" w:eastAsiaTheme="minorEastAsia"/>
          <w:bCs/>
          <w:sz w:val="24"/>
        </w:rPr>
        <w:t>本合同经双方签字或</w:t>
      </w:r>
      <w:r>
        <w:rPr>
          <w:rFonts w:hint="eastAsia" w:asciiTheme="minorEastAsia" w:hAnsiTheme="minorEastAsia" w:eastAsiaTheme="minorEastAsia"/>
          <w:bCs/>
          <w:sz w:val="24"/>
          <w:u w:val="single"/>
        </w:rPr>
        <w:t>盖章</w:t>
      </w:r>
      <w:r>
        <w:rPr>
          <w:rFonts w:hint="eastAsia" w:asciiTheme="minorEastAsia" w:hAnsiTheme="minorEastAsia" w:eastAsiaTheme="minorEastAsia"/>
          <w:bCs/>
          <w:sz w:val="24"/>
        </w:rPr>
        <w:t>后生效，自合同全部履行完毕后自然终止。</w:t>
      </w:r>
    </w:p>
    <w:p>
      <w:pPr>
        <w:spacing w:line="400" w:lineRule="exact"/>
        <w:ind w:firstLine="600" w:firstLineChars="250"/>
        <w:rPr>
          <w:rFonts w:asciiTheme="minorEastAsia" w:hAnsiTheme="minorEastAsia" w:eastAsiaTheme="minorEastAsia"/>
          <w:sz w:val="24"/>
        </w:rPr>
      </w:pPr>
      <w:r>
        <w:rPr>
          <w:rFonts w:hint="eastAsia" w:asciiTheme="minorEastAsia" w:hAnsiTheme="minorEastAsia" w:eastAsiaTheme="minorEastAsia"/>
          <w:sz w:val="24"/>
        </w:rPr>
        <w:t>13.5 本合</w:t>
      </w:r>
      <w:r>
        <w:rPr>
          <w:rFonts w:hint="eastAsia" w:asciiTheme="minorEastAsia" w:hAnsiTheme="minorEastAsia" w:eastAsiaTheme="minorEastAsia"/>
          <w:sz w:val="24"/>
          <w:u w:val="none"/>
        </w:rPr>
        <w:t>同</w:t>
      </w:r>
      <w:r>
        <w:rPr>
          <w:rFonts w:hint="eastAsia" w:asciiTheme="minorEastAsia" w:hAnsiTheme="minorEastAsia" w:eastAsiaTheme="minorEastAsia"/>
          <w:sz w:val="24"/>
          <w:u w:val="single"/>
        </w:rPr>
        <w:t>壹式陆份</w:t>
      </w:r>
      <w:r>
        <w:rPr>
          <w:rFonts w:hint="eastAsia" w:asciiTheme="minorEastAsia" w:hAnsiTheme="minorEastAsia" w:eastAsiaTheme="minorEastAsia"/>
          <w:sz w:val="24"/>
        </w:rPr>
        <w:t>，甲方执叁份，乙方执</w:t>
      </w:r>
      <w:r>
        <w:rPr>
          <w:rFonts w:hint="eastAsia" w:asciiTheme="minorEastAsia" w:hAnsiTheme="minorEastAsia" w:eastAsiaTheme="minorEastAsia"/>
          <w:sz w:val="24"/>
          <w:u w:val="single"/>
        </w:rPr>
        <w:t>叁</w:t>
      </w:r>
      <w:r>
        <w:rPr>
          <w:rFonts w:hint="eastAsia" w:asciiTheme="minorEastAsia" w:hAnsiTheme="minorEastAsia" w:eastAsiaTheme="minorEastAsia"/>
          <w:sz w:val="24"/>
        </w:rPr>
        <w:t>份，均为正本，具有同等法律效力。</w:t>
      </w:r>
    </w:p>
    <w:p>
      <w:pPr>
        <w:spacing w:line="400" w:lineRule="exact"/>
        <w:ind w:left="1" w:firstLine="600" w:firstLineChars="25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sz w:val="24"/>
        </w:rPr>
        <w:t xml:space="preserve">6 </w:t>
      </w:r>
      <w:r>
        <w:rPr>
          <w:rFonts w:hint="eastAsia" w:asciiTheme="minorEastAsia" w:hAnsiTheme="minorEastAsia" w:eastAsiaTheme="minorEastAsia"/>
          <w:bCs/>
          <w:sz w:val="24"/>
        </w:rPr>
        <w:t>本合同所有条款均为打印文字，对任何条款所作的手写修订双方都应在本合同“14、</w:t>
      </w:r>
      <w:r>
        <w:rPr>
          <w:rFonts w:hint="eastAsia" w:asciiTheme="minorEastAsia" w:hAnsiTheme="minorEastAsia" w:eastAsiaTheme="minorEastAsia"/>
          <w:sz w:val="24"/>
        </w:rPr>
        <w:t>另行约定事项</w:t>
      </w:r>
      <w:r>
        <w:rPr>
          <w:rFonts w:hint="eastAsia" w:asciiTheme="minorEastAsia" w:hAnsiTheme="minorEastAsia" w:eastAsiaTheme="minorEastAsia"/>
          <w:bCs/>
          <w:sz w:val="24"/>
        </w:rPr>
        <w:t>”中注明并经双方盖章后方能有效。</w:t>
      </w:r>
    </w:p>
    <w:p>
      <w:pPr>
        <w:spacing w:line="400" w:lineRule="exact"/>
        <w:ind w:firstLine="522" w:firstLineChars="200"/>
        <w:rPr>
          <w:rFonts w:asciiTheme="minorEastAsia" w:hAnsiTheme="minorEastAsia" w:eastAsiaTheme="minorEastAsia"/>
          <w:b/>
          <w:sz w:val="26"/>
          <w:szCs w:val="26"/>
        </w:rPr>
      </w:pPr>
      <w:r>
        <w:rPr>
          <w:rFonts w:asciiTheme="minorEastAsia" w:hAnsiTheme="minorEastAsia" w:eastAsiaTheme="minorEastAsia"/>
          <w:b/>
          <w:sz w:val="26"/>
          <w:szCs w:val="26"/>
        </w:rPr>
        <w:t>1</w:t>
      </w:r>
      <w:r>
        <w:rPr>
          <w:rFonts w:hint="eastAsia" w:asciiTheme="minorEastAsia" w:hAnsiTheme="minorEastAsia" w:eastAsiaTheme="minorEastAsia"/>
          <w:b/>
          <w:sz w:val="26"/>
          <w:szCs w:val="26"/>
        </w:rPr>
        <w:t>4、另行约定事项（可另加附页）：</w:t>
      </w:r>
      <w:r>
        <w:rPr>
          <w:rFonts w:asciiTheme="minorEastAsia" w:hAnsiTheme="minorEastAsia" w:eastAsiaTheme="minorEastAsia"/>
          <w:b/>
          <w:sz w:val="26"/>
          <w:szCs w:val="26"/>
        </w:rPr>
        <w:t xml:space="preserve"> </w:t>
      </w:r>
    </w:p>
    <w:p>
      <w:pPr>
        <w:spacing w:line="400" w:lineRule="exact"/>
        <w:ind w:firstLine="600" w:firstLineChars="250"/>
        <w:rPr>
          <w:rFonts w:asciiTheme="minorEastAsia" w:hAnsiTheme="minorEastAsia" w:eastAsiaTheme="minorEastAsia"/>
          <w:sz w:val="24"/>
        </w:rPr>
      </w:pPr>
      <w:r>
        <w:rPr>
          <w:rFonts w:hint="eastAsia" w:asciiTheme="minorEastAsia" w:hAnsiTheme="minorEastAsia" w:eastAsiaTheme="minorEastAsia"/>
          <w:sz w:val="24"/>
          <w:szCs w:val="24"/>
        </w:rPr>
        <w:t>14.1 甲、乙双方了解并同意本合同设备用于中华人民共和国境内的项目。如由于任何原因，甲方需要变更目的地，甲方应立即通知乙方，乙方有权决定是否交货。乙方行使这一决定权并不构成违约。如甲方单方面变更目的地，甲方应赔偿因此给乙方造成的相关损失。</w:t>
      </w:r>
    </w:p>
    <w:p>
      <w:pPr>
        <w:spacing w:line="4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14.2 服务期内，甲方需要增加设备功能和改变性能时，或因国家颁布或修订有关强制性标准而需对设备进行改造时，双方应另行签订《电（扶）梯改造服务合同》，由甲方承担相关费用。</w:t>
      </w:r>
    </w:p>
    <w:p>
      <w:pPr>
        <w:spacing w:line="4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14.3 由乙方提供的软件，应属于乙方或其他相关的软件提供者的财产，甲方仅有非独占的且不得转让的使用权，并且不得进行任何形式的复制、修改或允许任何第三方占有、使用、复制或修改。</w:t>
      </w:r>
    </w:p>
    <w:p>
      <w:pPr>
        <w:spacing w:line="4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14.4 甲、乙</w:t>
      </w:r>
      <w:r>
        <w:rPr>
          <w:rFonts w:asciiTheme="minorEastAsia" w:hAnsiTheme="minorEastAsia" w:eastAsiaTheme="minorEastAsia"/>
          <w:sz w:val="24"/>
          <w:szCs w:val="24"/>
        </w:rPr>
        <w:t>双方一致同意</w:t>
      </w:r>
      <w:r>
        <w:rPr>
          <w:rFonts w:hint="eastAsia" w:asciiTheme="minorEastAsia" w:hAnsiTheme="minorEastAsia" w:eastAsiaTheme="minorEastAsia"/>
          <w:sz w:val="24"/>
          <w:szCs w:val="24"/>
        </w:rPr>
        <w:t>，未经乙方授权许可，任何人</w:t>
      </w:r>
      <w:r>
        <w:rPr>
          <w:rFonts w:asciiTheme="minorEastAsia" w:hAnsiTheme="minorEastAsia" w:eastAsiaTheme="minorEastAsia"/>
          <w:sz w:val="24"/>
          <w:szCs w:val="24"/>
        </w:rPr>
        <w:t>均</w:t>
      </w:r>
      <w:r>
        <w:rPr>
          <w:rFonts w:hint="eastAsia" w:asciiTheme="minorEastAsia" w:hAnsiTheme="minorEastAsia" w:eastAsiaTheme="minorEastAsia"/>
          <w:sz w:val="24"/>
          <w:szCs w:val="24"/>
        </w:rPr>
        <w:t>不得以任何方式对本合同产品（包括但不限于：设备性</w:t>
      </w:r>
      <w:r>
        <w:rPr>
          <w:rFonts w:asciiTheme="minorEastAsia" w:hAnsiTheme="minorEastAsia" w:eastAsiaTheme="minorEastAsia"/>
          <w:sz w:val="24"/>
          <w:szCs w:val="24"/>
        </w:rPr>
        <w:t>能、</w:t>
      </w:r>
      <w:r>
        <w:rPr>
          <w:rFonts w:hint="eastAsia" w:asciiTheme="minorEastAsia" w:hAnsiTheme="minorEastAsia" w:eastAsiaTheme="minorEastAsia"/>
          <w:sz w:val="24"/>
          <w:szCs w:val="24"/>
        </w:rPr>
        <w:t>功能、轿厢装潢、零</w:t>
      </w:r>
      <w:r>
        <w:rPr>
          <w:rFonts w:asciiTheme="minorEastAsia" w:hAnsiTheme="minorEastAsia" w:eastAsiaTheme="minorEastAsia"/>
          <w:sz w:val="24"/>
          <w:szCs w:val="24"/>
        </w:rPr>
        <w:t>部件</w:t>
      </w:r>
      <w:r>
        <w:rPr>
          <w:rFonts w:hint="eastAsia" w:asciiTheme="minorEastAsia" w:hAnsiTheme="minorEastAsia" w:eastAsiaTheme="minorEastAsia"/>
          <w:sz w:val="24"/>
          <w:szCs w:val="24"/>
        </w:rPr>
        <w:t>等）进行改装、变更，否则，由此造成的所有损</w:t>
      </w:r>
      <w:r>
        <w:rPr>
          <w:rFonts w:asciiTheme="minorEastAsia" w:hAnsiTheme="minorEastAsia" w:eastAsiaTheme="minorEastAsia"/>
          <w:sz w:val="24"/>
          <w:szCs w:val="24"/>
        </w:rPr>
        <w:t>失与</w:t>
      </w:r>
      <w:r>
        <w:rPr>
          <w:rFonts w:hint="eastAsia" w:asciiTheme="minorEastAsia" w:hAnsiTheme="minorEastAsia" w:eastAsiaTheme="minorEastAsia"/>
          <w:sz w:val="24"/>
          <w:szCs w:val="24"/>
        </w:rPr>
        <w:t>责任由改</w:t>
      </w:r>
      <w:r>
        <w:rPr>
          <w:rFonts w:asciiTheme="minorEastAsia" w:hAnsiTheme="minorEastAsia" w:eastAsiaTheme="minorEastAsia"/>
          <w:sz w:val="24"/>
          <w:szCs w:val="24"/>
        </w:rPr>
        <w:t>装、</w:t>
      </w:r>
      <w:r>
        <w:rPr>
          <w:rFonts w:hint="eastAsia" w:asciiTheme="minorEastAsia" w:hAnsiTheme="minorEastAsia" w:eastAsiaTheme="minorEastAsia"/>
          <w:sz w:val="24"/>
          <w:szCs w:val="24"/>
        </w:rPr>
        <w:t>变</w:t>
      </w:r>
      <w:r>
        <w:rPr>
          <w:rFonts w:asciiTheme="minorEastAsia" w:hAnsiTheme="minorEastAsia" w:eastAsiaTheme="minorEastAsia"/>
          <w:sz w:val="24"/>
          <w:szCs w:val="24"/>
        </w:rPr>
        <w:t>更</w:t>
      </w:r>
      <w:r>
        <w:rPr>
          <w:rFonts w:hint="eastAsia" w:asciiTheme="minorEastAsia" w:hAnsiTheme="minorEastAsia" w:eastAsiaTheme="minorEastAsia"/>
          <w:sz w:val="24"/>
          <w:szCs w:val="24"/>
        </w:rPr>
        <w:t>及使用</w:t>
      </w:r>
      <w:r>
        <w:rPr>
          <w:rFonts w:asciiTheme="minorEastAsia" w:hAnsiTheme="minorEastAsia" w:eastAsiaTheme="minorEastAsia"/>
          <w:sz w:val="24"/>
          <w:szCs w:val="24"/>
        </w:rPr>
        <w:t>管理方</w:t>
      </w:r>
      <w:r>
        <w:rPr>
          <w:rFonts w:hint="eastAsia" w:asciiTheme="minorEastAsia" w:hAnsiTheme="minorEastAsia" w:eastAsiaTheme="minorEastAsia"/>
          <w:sz w:val="24"/>
          <w:szCs w:val="24"/>
        </w:rPr>
        <w:t>承担。</w:t>
      </w:r>
    </w:p>
    <w:p>
      <w:pPr>
        <w:spacing w:line="4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14.</w:t>
      </w: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合同各方在本合同列明的地址、联系方式为双方约定的法律文件、法院诉讼文书、函件、资料等的送达地址和方式。任何一方采取邮寄送达的，自邮件发出后5日视为送达（具体日期以邮戳为准）；以传真、电子邮件、微信、QQ送达的，自发出后次日即视为送达。</w:t>
      </w:r>
    </w:p>
    <w:p>
      <w:pPr>
        <w:spacing w:line="4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合同各方任何一方变更本合同约定的送达地址、送达方式的，应提前3日书面通知相对方，因未及时通知造成接收不到法律文件、法院诉讼文书、函件、资料等的所有不利后果由变更方承担。</w:t>
      </w:r>
    </w:p>
    <w:p>
      <w:pPr>
        <w:spacing w:line="400" w:lineRule="exact"/>
        <w:ind w:firstLine="600" w:firstLineChars="250"/>
        <w:rPr>
          <w:rFonts w:asciiTheme="minorEastAsia" w:hAnsiTheme="minorEastAsia" w:eastAsiaTheme="minorEastAsia"/>
          <w:sz w:val="24"/>
          <w:szCs w:val="24"/>
        </w:rPr>
      </w:pPr>
      <w:r>
        <w:rPr>
          <w:rFonts w:cs="微软雅黑" w:asciiTheme="minorEastAsia" w:hAnsiTheme="minorEastAsia" w:eastAsiaTheme="minorEastAsia"/>
          <w:sz w:val="24"/>
          <w:szCs w:val="24"/>
        </w:rPr>
        <w:t xml:space="preserve">14.6 </w:t>
      </w:r>
      <w:r>
        <w:rPr>
          <w:rFonts w:hint="eastAsia" w:cs="微软雅黑" w:asciiTheme="minorEastAsia" w:hAnsiTheme="minorEastAsia" w:eastAsiaTheme="minorEastAsia"/>
          <w:sz w:val="24"/>
          <w:szCs w:val="24"/>
        </w:rPr>
        <w:t>双方同意，乙方可通过邮寄对账单的方式与甲方完成对账，自加盖乙方公章的对账单以邮寄方式送达甲方之日起，甲方应立即完成对账，超过5个工作日未对账或未提出异议的，视为认可乙方送达对账单。</w:t>
      </w:r>
    </w:p>
    <w:p>
      <w:pPr>
        <w:spacing w:line="4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14.</w:t>
      </w:r>
      <w:r>
        <w:rPr>
          <w:rFonts w:asciiTheme="minorEastAsia" w:hAnsiTheme="minorEastAsia" w:eastAsiaTheme="minorEastAsia"/>
          <w:sz w:val="24"/>
          <w:szCs w:val="24"/>
        </w:rPr>
        <w:t>7</w:t>
      </w:r>
      <w:r>
        <w:rPr>
          <w:rFonts w:hint="eastAsia" w:asciiTheme="minorEastAsia" w:hAnsiTheme="minorEastAsia" w:eastAsiaTheme="minorEastAsia"/>
          <w:sz w:val="24"/>
          <w:szCs w:val="24"/>
        </w:rPr>
        <w:t xml:space="preserve"> 本合同为双方间的完整协议并替代双方先前所有书面或口头的磋商、报价和协议，下列附件附属于本合同，与合同正本具有同等法律效力。</w:t>
      </w:r>
    </w:p>
    <w:p>
      <w:pPr>
        <w:spacing w:line="400" w:lineRule="exact"/>
        <w:ind w:firstLine="602" w:firstLineChars="250"/>
        <w:rPr>
          <w:rFonts w:asciiTheme="minorEastAsia" w:hAnsiTheme="minorEastAsia" w:eastAsiaTheme="minorEastAsia"/>
          <w:b/>
          <w:bCs/>
          <w:sz w:val="24"/>
          <w:szCs w:val="24"/>
        </w:rPr>
      </w:pPr>
      <w:r>
        <w:rPr>
          <w:rFonts w:hint="eastAsia" w:cs="微软雅黑" w:asciiTheme="minorEastAsia" w:hAnsiTheme="minorEastAsia" w:eastAsiaTheme="minorEastAsia"/>
          <w:b/>
          <w:bCs/>
          <w:sz w:val="24"/>
          <w:szCs w:val="24"/>
        </w:rPr>
        <w:t>特别提示：本协议系甲、乙双方，通过充分协商一致后共同确定并签署，各方在签署前均已充分阅读并理解本合同中所有条款，在本合同书上签署基于各方完全的自愿。</w:t>
      </w:r>
    </w:p>
    <w:p>
      <w:pPr>
        <w:spacing w:line="400" w:lineRule="exact"/>
        <w:ind w:firstLine="723" w:firstLineChars="300"/>
        <w:rPr>
          <w:rFonts w:ascii="宋体" w:hAnsi="宋体" w:cs="微软雅黑"/>
          <w:b/>
          <w:bCs/>
          <w:sz w:val="24"/>
          <w:szCs w:val="24"/>
        </w:rPr>
      </w:pPr>
    </w:p>
    <w:p>
      <w:pPr>
        <w:spacing w:line="400" w:lineRule="exact"/>
        <w:ind w:firstLine="723" w:firstLineChars="300"/>
        <w:rPr>
          <w:rFonts w:ascii="宋体" w:hAnsi="宋体" w:cs="微软雅黑"/>
          <w:b/>
          <w:bCs/>
          <w:sz w:val="24"/>
          <w:szCs w:val="24"/>
        </w:rPr>
      </w:pPr>
    </w:p>
    <w:p>
      <w:pPr>
        <w:spacing w:line="400" w:lineRule="exact"/>
        <w:ind w:firstLine="723" w:firstLineChars="300"/>
        <w:rPr>
          <w:rFonts w:ascii="宋体" w:hAnsi="宋体" w:cs="微软雅黑"/>
          <w:b/>
          <w:bCs/>
          <w:sz w:val="24"/>
          <w:szCs w:val="24"/>
        </w:rPr>
      </w:pPr>
      <w:r>
        <w:rPr>
          <w:rFonts w:hint="eastAsia" w:ascii="宋体" w:hAnsi="宋体" w:cs="微软雅黑"/>
          <w:b/>
          <w:bCs/>
          <w:sz w:val="24"/>
          <w:szCs w:val="24"/>
        </w:rPr>
        <w:t>甲方（签章）：                                乙方（签章）：</w:t>
      </w:r>
    </w:p>
    <w:p>
      <w:pPr>
        <w:spacing w:line="400" w:lineRule="exact"/>
        <w:ind w:firstLine="723" w:firstLineChars="300"/>
        <w:rPr>
          <w:rFonts w:ascii="宋体" w:hAnsi="宋体" w:cs="微软雅黑"/>
          <w:b/>
          <w:bCs/>
          <w:sz w:val="24"/>
          <w:szCs w:val="24"/>
        </w:rPr>
      </w:pPr>
    </w:p>
    <w:p>
      <w:pPr>
        <w:spacing w:line="400" w:lineRule="exact"/>
        <w:ind w:firstLine="723" w:firstLineChars="300"/>
        <w:rPr>
          <w:rFonts w:ascii="宋体" w:hAnsi="宋体" w:cs="微软雅黑"/>
          <w:b/>
          <w:bCs/>
          <w:sz w:val="24"/>
          <w:szCs w:val="24"/>
        </w:rPr>
      </w:pPr>
    </w:p>
    <w:p>
      <w:pPr>
        <w:spacing w:line="400" w:lineRule="exact"/>
        <w:ind w:firstLine="723" w:firstLineChars="300"/>
        <w:rPr>
          <w:rFonts w:ascii="宋体" w:hAnsi="宋体" w:cs="微软雅黑"/>
          <w:b/>
          <w:bCs/>
          <w:sz w:val="24"/>
          <w:szCs w:val="24"/>
        </w:rPr>
      </w:pPr>
    </w:p>
    <w:p>
      <w:pPr>
        <w:spacing w:line="400" w:lineRule="exact"/>
        <w:ind w:firstLine="723" w:firstLineChars="300"/>
        <w:rPr>
          <w:rFonts w:ascii="宋体" w:hAnsi="宋体" w:cs="微软雅黑"/>
          <w:b/>
          <w:bCs/>
          <w:sz w:val="24"/>
          <w:szCs w:val="24"/>
        </w:rPr>
      </w:pPr>
    </w:p>
    <w:p>
      <w:pPr>
        <w:spacing w:line="400" w:lineRule="exact"/>
        <w:ind w:firstLine="723" w:firstLineChars="300"/>
        <w:rPr>
          <w:rFonts w:ascii="宋体" w:hAnsi="宋体" w:cs="微软雅黑"/>
          <w:b/>
          <w:bCs/>
          <w:sz w:val="24"/>
          <w:szCs w:val="24"/>
        </w:rPr>
      </w:pPr>
    </w:p>
    <w:p>
      <w:pPr>
        <w:spacing w:line="400" w:lineRule="exact"/>
        <w:ind w:firstLine="723" w:firstLineChars="300"/>
        <w:rPr>
          <w:rFonts w:ascii="宋体" w:hAnsi="宋体" w:cs="微软雅黑"/>
          <w:b/>
          <w:bCs/>
          <w:sz w:val="24"/>
          <w:szCs w:val="24"/>
        </w:rPr>
      </w:pPr>
    </w:p>
    <w:p>
      <w:pPr>
        <w:spacing w:line="400" w:lineRule="exact"/>
        <w:ind w:firstLine="723" w:firstLineChars="300"/>
        <w:rPr>
          <w:rFonts w:ascii="宋体" w:hAnsi="宋体" w:cs="微软雅黑"/>
          <w:b/>
          <w:bCs/>
          <w:sz w:val="24"/>
          <w:szCs w:val="24"/>
        </w:rPr>
      </w:pPr>
    </w:p>
    <w:p>
      <w:pPr>
        <w:spacing w:line="400" w:lineRule="exact"/>
        <w:ind w:firstLine="723" w:firstLineChars="300"/>
        <w:rPr>
          <w:rFonts w:ascii="宋体" w:hAnsi="宋体" w:cs="微软雅黑"/>
          <w:b/>
          <w:bCs/>
          <w:sz w:val="24"/>
          <w:szCs w:val="24"/>
        </w:rPr>
      </w:pPr>
    </w:p>
    <w:p>
      <w:pPr>
        <w:spacing w:line="400" w:lineRule="exact"/>
        <w:ind w:firstLine="723" w:firstLineChars="300"/>
        <w:rPr>
          <w:rFonts w:ascii="宋体" w:hAnsi="宋体" w:cs="微软雅黑"/>
          <w:b/>
          <w:bCs/>
          <w:sz w:val="24"/>
          <w:szCs w:val="24"/>
        </w:rPr>
      </w:pPr>
    </w:p>
    <w:p>
      <w:pPr>
        <w:spacing w:line="400" w:lineRule="exact"/>
        <w:ind w:firstLine="723" w:firstLineChars="300"/>
        <w:rPr>
          <w:rFonts w:ascii="宋体" w:hAnsi="宋体" w:cs="微软雅黑"/>
          <w:b/>
          <w:bCs/>
          <w:sz w:val="24"/>
          <w:szCs w:val="24"/>
        </w:rPr>
      </w:pPr>
    </w:p>
    <w:p>
      <w:pPr>
        <w:spacing w:line="400" w:lineRule="exact"/>
        <w:rPr>
          <w:rFonts w:cs="宋体-18030" w:asciiTheme="minorEastAsia" w:hAnsiTheme="minorEastAsia" w:eastAsiaTheme="minorEastAsia"/>
          <w:szCs w:val="21"/>
        </w:rPr>
      </w:pPr>
    </w:p>
    <w:p>
      <w:pPr>
        <w:pStyle w:val="9"/>
        <w:spacing w:before="0" w:after="0"/>
        <w:jc w:val="both"/>
        <w:rPr>
          <w:rFonts w:asciiTheme="minorEastAsia" w:hAnsiTheme="minorEastAsia" w:eastAsiaTheme="minorEastAsia"/>
          <w:b w:val="0"/>
          <w:bCs w:val="0"/>
          <w:color w:val="auto"/>
          <w:sz w:val="24"/>
          <w:szCs w:val="20"/>
        </w:rPr>
      </w:pPr>
      <w:bookmarkStart w:id="8" w:name="_GoBack"/>
      <w:bookmarkStart w:id="0" w:name="_Toc4847_WPSOffice_Level1"/>
      <w:bookmarkStart w:id="1" w:name="_Toc503270346"/>
      <w:bookmarkStart w:id="2" w:name="_Toc1792"/>
      <w:r>
        <w:rPr>
          <w:rFonts w:hint="eastAsia" w:asciiTheme="minorEastAsia" w:hAnsiTheme="minorEastAsia" w:eastAsiaTheme="minorEastAsia"/>
          <w:b w:val="0"/>
          <w:bCs w:val="0"/>
          <w:color w:val="auto"/>
          <w:sz w:val="24"/>
          <w:szCs w:val="20"/>
        </w:rPr>
        <w:t>附件一、电梯规格参数</w:t>
      </w:r>
      <w:bookmarkEnd w:id="0"/>
      <w:bookmarkEnd w:id="1"/>
      <w:bookmarkEnd w:id="2"/>
    </w:p>
    <w:tbl>
      <w:tblPr>
        <w:tblStyle w:val="10"/>
        <w:tblW w:w="9736" w:type="dxa"/>
        <w:jc w:val="center"/>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884"/>
        <w:gridCol w:w="1855"/>
        <w:gridCol w:w="6290"/>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07" w:type="dxa"/>
            <w:tcBorders>
              <w:top w:val="thinThickSmallGap" w:color="auto" w:sz="24" w:space="0"/>
              <w:bottom w:val="single" w:color="auto" w:sz="4" w:space="0"/>
            </w:tcBorders>
            <w:shd w:val="pct10" w:color="auto" w:fill="auto"/>
          </w:tcPr>
          <w:p>
            <w:pPr>
              <w:numPr>
                <w:ilvl w:val="12"/>
                <w:numId w:val="0"/>
              </w:numPr>
              <w:spacing w:line="320" w:lineRule="exact"/>
              <w:rPr>
                <w:rFonts w:ascii="宋体" w:hAnsi="宋体"/>
                <w:b/>
                <w:color w:val="auto"/>
                <w:sz w:val="24"/>
              </w:rPr>
            </w:pPr>
            <w:r>
              <w:rPr>
                <w:rFonts w:hint="eastAsia" w:ascii="宋体" w:hAnsi="宋体"/>
                <w:b/>
                <w:color w:val="auto"/>
                <w:sz w:val="24"/>
              </w:rPr>
              <w:t>序号</w:t>
            </w:r>
          </w:p>
        </w:tc>
        <w:tc>
          <w:tcPr>
            <w:tcW w:w="884" w:type="dxa"/>
            <w:tcBorders>
              <w:top w:val="thinThickSmallGap" w:color="auto" w:sz="24" w:space="0"/>
              <w:bottom w:val="single" w:color="auto" w:sz="4" w:space="0"/>
            </w:tcBorders>
            <w:shd w:val="pct10" w:color="auto" w:fill="auto"/>
          </w:tcPr>
          <w:p>
            <w:pPr>
              <w:numPr>
                <w:ilvl w:val="12"/>
                <w:numId w:val="0"/>
              </w:numPr>
              <w:spacing w:line="320" w:lineRule="exact"/>
              <w:ind w:left="59" w:leftChars="28"/>
              <w:rPr>
                <w:rFonts w:ascii="宋体" w:hAnsi="宋体"/>
                <w:b/>
                <w:color w:val="auto"/>
                <w:sz w:val="24"/>
              </w:rPr>
            </w:pPr>
            <w:r>
              <w:rPr>
                <w:rFonts w:hint="eastAsia" w:ascii="宋体" w:hAnsi="宋体"/>
                <w:b/>
                <w:color w:val="auto"/>
                <w:sz w:val="24"/>
              </w:rPr>
              <w:t>品名</w:t>
            </w:r>
          </w:p>
        </w:tc>
        <w:tc>
          <w:tcPr>
            <w:tcW w:w="8145" w:type="dxa"/>
            <w:gridSpan w:val="2"/>
            <w:tcBorders>
              <w:top w:val="thinThickSmallGap" w:color="auto" w:sz="24" w:space="0"/>
              <w:bottom w:val="single" w:color="auto" w:sz="4" w:space="0"/>
            </w:tcBorders>
            <w:shd w:val="pct10" w:color="auto" w:fill="auto"/>
          </w:tcPr>
          <w:p>
            <w:pPr>
              <w:numPr>
                <w:ilvl w:val="12"/>
                <w:numId w:val="0"/>
              </w:numPr>
              <w:spacing w:line="320" w:lineRule="exact"/>
              <w:rPr>
                <w:rFonts w:ascii="宋体" w:hAnsi="宋体"/>
                <w:b/>
                <w:color w:val="auto"/>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7" w:type="dxa"/>
            <w:tcBorders>
              <w:top w:val="single" w:color="auto" w:sz="4" w:space="0"/>
            </w:tcBorders>
            <w:vAlign w:val="center"/>
          </w:tcPr>
          <w:p>
            <w:pPr>
              <w:spacing w:before="120" w:line="320" w:lineRule="exact"/>
              <w:jc w:val="center"/>
              <w:rPr>
                <w:rFonts w:ascii="宋体" w:hAnsi="宋体"/>
                <w:color w:val="auto"/>
                <w:sz w:val="24"/>
              </w:rPr>
            </w:pPr>
            <w:r>
              <w:rPr>
                <w:rFonts w:hint="eastAsia" w:ascii="宋体" w:hAnsi="宋体"/>
                <w:color w:val="auto"/>
                <w:sz w:val="24"/>
              </w:rPr>
              <w:t>1</w:t>
            </w:r>
          </w:p>
        </w:tc>
        <w:tc>
          <w:tcPr>
            <w:tcW w:w="884" w:type="dxa"/>
            <w:vMerge w:val="restart"/>
            <w:tcBorders>
              <w:top w:val="single" w:color="auto" w:sz="4" w:space="0"/>
            </w:tcBorders>
            <w:vAlign w:val="center"/>
          </w:tcPr>
          <w:p>
            <w:pPr>
              <w:spacing w:before="120" w:line="320" w:lineRule="exact"/>
              <w:ind w:firstLine="120" w:firstLineChars="50"/>
              <w:jc w:val="center"/>
              <w:rPr>
                <w:rFonts w:ascii="宋体" w:hAnsi="宋体"/>
                <w:color w:val="auto"/>
                <w:sz w:val="24"/>
              </w:rPr>
            </w:pPr>
            <w:r>
              <w:rPr>
                <w:rFonts w:hint="eastAsia" w:ascii="宋体" w:hAnsi="宋体"/>
                <w:color w:val="auto"/>
                <w:sz w:val="24"/>
              </w:rPr>
              <w:t>技术规格</w:t>
            </w:r>
          </w:p>
        </w:tc>
        <w:tc>
          <w:tcPr>
            <w:tcW w:w="1855" w:type="dxa"/>
            <w:tcBorders>
              <w:top w:val="single" w:color="auto" w:sz="4" w:space="0"/>
            </w:tcBorders>
          </w:tcPr>
          <w:p>
            <w:pPr>
              <w:spacing w:before="120" w:line="320" w:lineRule="exact"/>
              <w:rPr>
                <w:rFonts w:ascii="宋体" w:hAnsi="宋体"/>
                <w:color w:val="auto"/>
                <w:sz w:val="24"/>
              </w:rPr>
            </w:pPr>
            <w:r>
              <w:rPr>
                <w:rFonts w:hint="eastAsia" w:ascii="宋体" w:hAnsi="宋体"/>
                <w:color w:val="auto"/>
                <w:sz w:val="24"/>
              </w:rPr>
              <w:t xml:space="preserve">    数量</w:t>
            </w:r>
          </w:p>
        </w:tc>
        <w:tc>
          <w:tcPr>
            <w:tcW w:w="6290" w:type="dxa"/>
            <w:tcBorders>
              <w:top w:val="single" w:color="auto" w:sz="4" w:space="0"/>
            </w:tcBorders>
          </w:tcPr>
          <w:p>
            <w:pPr>
              <w:spacing w:before="120" w:line="320" w:lineRule="exact"/>
              <w:rPr>
                <w:rFonts w:ascii="宋体" w:hAnsi="宋体"/>
                <w:color w:val="auto"/>
                <w:sz w:val="24"/>
              </w:rPr>
            </w:pPr>
            <w:r>
              <w:rPr>
                <w:rFonts w:hint="eastAsia" w:ascii="宋体" w:hAnsi="宋体"/>
                <w:color w:val="auto"/>
                <w:sz w:val="24"/>
              </w:rPr>
              <w:t>1台</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7" w:type="dxa"/>
            <w:vAlign w:val="center"/>
          </w:tcPr>
          <w:p>
            <w:pPr>
              <w:spacing w:before="120" w:line="320" w:lineRule="exact"/>
              <w:jc w:val="center"/>
              <w:rPr>
                <w:rFonts w:ascii="宋体" w:hAnsi="宋体"/>
                <w:color w:val="auto"/>
                <w:sz w:val="24"/>
              </w:rPr>
            </w:pPr>
            <w:r>
              <w:rPr>
                <w:rFonts w:hint="eastAsia" w:ascii="宋体" w:hAnsi="宋体"/>
                <w:color w:val="auto"/>
                <w:sz w:val="24"/>
              </w:rPr>
              <w:t>2</w:t>
            </w:r>
          </w:p>
        </w:tc>
        <w:tc>
          <w:tcPr>
            <w:tcW w:w="884" w:type="dxa"/>
            <w:vMerge w:val="continue"/>
            <w:vAlign w:val="center"/>
          </w:tcPr>
          <w:p>
            <w:pPr>
              <w:spacing w:before="120" w:line="320" w:lineRule="exact"/>
              <w:ind w:left="180"/>
              <w:jc w:val="center"/>
              <w:rPr>
                <w:rFonts w:ascii="宋体" w:hAnsi="宋体"/>
                <w:color w:val="auto"/>
                <w:sz w:val="24"/>
              </w:rPr>
            </w:pPr>
          </w:p>
        </w:tc>
        <w:tc>
          <w:tcPr>
            <w:tcW w:w="1855" w:type="dxa"/>
          </w:tcPr>
          <w:p>
            <w:pPr>
              <w:spacing w:before="120" w:line="320" w:lineRule="exact"/>
              <w:ind w:firstLine="480" w:firstLineChars="200"/>
              <w:rPr>
                <w:rFonts w:ascii="宋体" w:hAnsi="宋体"/>
                <w:color w:val="auto"/>
                <w:sz w:val="24"/>
              </w:rPr>
            </w:pPr>
            <w:r>
              <w:rPr>
                <w:rFonts w:hint="eastAsia" w:ascii="宋体" w:hAnsi="宋体"/>
                <w:color w:val="auto"/>
                <w:sz w:val="24"/>
              </w:rPr>
              <w:t>规格</w:t>
            </w:r>
          </w:p>
        </w:tc>
        <w:tc>
          <w:tcPr>
            <w:tcW w:w="6290" w:type="dxa"/>
          </w:tcPr>
          <w:p>
            <w:pPr>
              <w:spacing w:before="120" w:line="320" w:lineRule="exact"/>
              <w:rPr>
                <w:rFonts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sym w:font="Wingdings 2" w:char="0052"/>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07" w:type="dxa"/>
            <w:vAlign w:val="center"/>
          </w:tcPr>
          <w:p>
            <w:pPr>
              <w:spacing w:line="440" w:lineRule="atLeast"/>
              <w:jc w:val="center"/>
              <w:rPr>
                <w:rFonts w:ascii="宋体" w:hAnsi="宋体"/>
                <w:bCs/>
                <w:color w:val="auto"/>
                <w:sz w:val="24"/>
              </w:rPr>
            </w:pPr>
            <w:r>
              <w:rPr>
                <w:rFonts w:hint="eastAsia" w:ascii="宋体" w:hAnsi="宋体"/>
                <w:bCs/>
                <w:color w:val="auto"/>
                <w:sz w:val="24"/>
              </w:rPr>
              <w:t>3</w:t>
            </w:r>
          </w:p>
        </w:tc>
        <w:tc>
          <w:tcPr>
            <w:tcW w:w="884" w:type="dxa"/>
            <w:vMerge w:val="continue"/>
            <w:vAlign w:val="center"/>
          </w:tcPr>
          <w:p>
            <w:pPr>
              <w:spacing w:line="440" w:lineRule="atLeast"/>
              <w:jc w:val="center"/>
              <w:rPr>
                <w:rFonts w:ascii="宋体" w:hAnsi="宋体"/>
                <w:bCs/>
                <w:color w:val="auto"/>
                <w:sz w:val="24"/>
              </w:rPr>
            </w:pPr>
          </w:p>
        </w:tc>
        <w:tc>
          <w:tcPr>
            <w:tcW w:w="1855" w:type="dxa"/>
          </w:tcPr>
          <w:p>
            <w:pPr>
              <w:spacing w:line="440" w:lineRule="atLeast"/>
              <w:ind w:firstLine="240" w:firstLineChars="100"/>
              <w:rPr>
                <w:rFonts w:ascii="宋体" w:hAnsi="宋体"/>
                <w:bCs/>
                <w:color w:val="auto"/>
                <w:sz w:val="24"/>
              </w:rPr>
            </w:pPr>
            <w:r>
              <w:rPr>
                <w:rFonts w:hint="eastAsia" w:ascii="宋体" w:hAnsi="宋体"/>
                <w:bCs/>
                <w:color w:val="auto"/>
                <w:sz w:val="24"/>
              </w:rPr>
              <w:t>拖动系统</w:t>
            </w:r>
          </w:p>
        </w:tc>
        <w:tc>
          <w:tcPr>
            <w:tcW w:w="6290" w:type="dxa"/>
          </w:tcPr>
          <w:p>
            <w:pPr>
              <w:spacing w:line="440" w:lineRule="atLeast"/>
              <w:rPr>
                <w:rFonts w:ascii="宋体" w:hAnsi="宋体"/>
                <w:bCs/>
                <w:color w:val="auto"/>
                <w:sz w:val="24"/>
              </w:rPr>
            </w:pPr>
            <w:r>
              <w:rPr>
                <w:rFonts w:hint="eastAsia" w:ascii="宋体" w:hAnsi="宋体"/>
                <w:bCs/>
                <w:color w:val="auto"/>
                <w:sz w:val="24"/>
              </w:rPr>
              <w:t>交流变频曳引提升</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07" w:type="dxa"/>
            <w:vAlign w:val="center"/>
          </w:tcPr>
          <w:p>
            <w:pPr>
              <w:spacing w:line="440" w:lineRule="atLeast"/>
              <w:jc w:val="center"/>
              <w:rPr>
                <w:rFonts w:ascii="宋体" w:hAnsi="宋体"/>
                <w:bCs/>
                <w:color w:val="auto"/>
                <w:sz w:val="24"/>
              </w:rPr>
            </w:pPr>
            <w:r>
              <w:rPr>
                <w:rFonts w:hint="eastAsia" w:ascii="宋体" w:hAnsi="宋体"/>
                <w:bCs/>
                <w:color w:val="auto"/>
                <w:sz w:val="24"/>
              </w:rPr>
              <w:t>4</w:t>
            </w:r>
          </w:p>
        </w:tc>
        <w:tc>
          <w:tcPr>
            <w:tcW w:w="884" w:type="dxa"/>
            <w:vMerge w:val="continue"/>
            <w:vAlign w:val="center"/>
          </w:tcPr>
          <w:p>
            <w:pPr>
              <w:spacing w:line="440" w:lineRule="atLeast"/>
              <w:jc w:val="center"/>
              <w:rPr>
                <w:rFonts w:ascii="宋体" w:hAnsi="宋体"/>
                <w:bCs/>
                <w:color w:val="auto"/>
                <w:sz w:val="24"/>
              </w:rPr>
            </w:pPr>
          </w:p>
        </w:tc>
        <w:tc>
          <w:tcPr>
            <w:tcW w:w="1855" w:type="dxa"/>
          </w:tcPr>
          <w:p>
            <w:pPr>
              <w:spacing w:line="440" w:lineRule="atLeast"/>
              <w:ind w:firstLine="240" w:firstLineChars="100"/>
              <w:rPr>
                <w:rFonts w:ascii="宋体" w:hAnsi="宋体"/>
                <w:bCs/>
                <w:color w:val="auto"/>
                <w:sz w:val="24"/>
              </w:rPr>
            </w:pPr>
            <w:r>
              <w:rPr>
                <w:rFonts w:hint="eastAsia" w:ascii="宋体" w:hAnsi="宋体"/>
                <w:bCs/>
                <w:color w:val="auto"/>
                <w:sz w:val="24"/>
              </w:rPr>
              <w:t>控制系统</w:t>
            </w:r>
          </w:p>
        </w:tc>
        <w:tc>
          <w:tcPr>
            <w:tcW w:w="6290" w:type="dxa"/>
          </w:tcPr>
          <w:p>
            <w:pPr>
              <w:spacing w:line="440" w:lineRule="atLeast"/>
              <w:rPr>
                <w:rFonts w:ascii="宋体" w:hAnsi="宋体"/>
                <w:bCs/>
                <w:color w:val="auto"/>
                <w:sz w:val="24"/>
              </w:rPr>
            </w:pPr>
            <w:r>
              <w:rPr>
                <w:rFonts w:hint="eastAsia" w:ascii="宋体" w:hAnsi="宋体"/>
                <w:bCs/>
                <w:color w:val="auto"/>
                <w:sz w:val="24"/>
              </w:rPr>
              <w:t>电脑网络控制</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07" w:type="dxa"/>
            <w:vAlign w:val="center"/>
          </w:tcPr>
          <w:p>
            <w:pPr>
              <w:spacing w:line="440" w:lineRule="atLeast"/>
              <w:jc w:val="center"/>
              <w:rPr>
                <w:rFonts w:ascii="宋体" w:hAnsi="宋体"/>
                <w:bCs/>
                <w:color w:val="auto"/>
                <w:sz w:val="24"/>
              </w:rPr>
            </w:pPr>
            <w:r>
              <w:rPr>
                <w:rFonts w:hint="eastAsia" w:ascii="宋体" w:hAnsi="宋体"/>
                <w:bCs/>
                <w:color w:val="auto"/>
                <w:sz w:val="24"/>
              </w:rPr>
              <w:t>5</w:t>
            </w:r>
          </w:p>
        </w:tc>
        <w:tc>
          <w:tcPr>
            <w:tcW w:w="884" w:type="dxa"/>
            <w:vMerge w:val="continue"/>
            <w:vAlign w:val="center"/>
          </w:tcPr>
          <w:p>
            <w:pPr>
              <w:spacing w:line="440" w:lineRule="atLeast"/>
              <w:jc w:val="center"/>
              <w:rPr>
                <w:rFonts w:ascii="宋体" w:hAnsi="宋体"/>
                <w:bCs/>
                <w:color w:val="auto"/>
                <w:sz w:val="24"/>
              </w:rPr>
            </w:pPr>
          </w:p>
        </w:tc>
        <w:tc>
          <w:tcPr>
            <w:tcW w:w="1855" w:type="dxa"/>
          </w:tcPr>
          <w:p>
            <w:pPr>
              <w:spacing w:line="440" w:lineRule="atLeast"/>
              <w:ind w:firstLine="240" w:firstLineChars="100"/>
              <w:rPr>
                <w:rFonts w:ascii="宋体" w:hAnsi="宋体"/>
                <w:bCs/>
                <w:color w:val="auto"/>
                <w:sz w:val="24"/>
              </w:rPr>
            </w:pPr>
            <w:r>
              <w:rPr>
                <w:rFonts w:hint="eastAsia" w:ascii="宋体" w:hAnsi="宋体"/>
                <w:bCs/>
                <w:color w:val="auto"/>
                <w:sz w:val="24"/>
              </w:rPr>
              <w:t>额定载量</w:t>
            </w:r>
          </w:p>
        </w:tc>
        <w:tc>
          <w:tcPr>
            <w:tcW w:w="6290" w:type="dxa"/>
          </w:tcPr>
          <w:p>
            <w:pPr>
              <w:spacing w:line="440" w:lineRule="atLeast"/>
              <w:rPr>
                <w:rFonts w:ascii="宋体" w:hAnsi="宋体"/>
                <w:bCs/>
                <w:color w:val="auto"/>
                <w:sz w:val="24"/>
              </w:rPr>
            </w:pPr>
            <w:r>
              <w:rPr>
                <w:rFonts w:hint="eastAsia" w:ascii="宋体" w:hAnsi="宋体"/>
                <w:bCs/>
                <w:color w:val="auto"/>
                <w:sz w:val="24"/>
              </w:rPr>
              <w:t>1000</w:t>
            </w:r>
            <w:r>
              <w:rPr>
                <w:rFonts w:ascii="宋体" w:hAnsi="宋体"/>
                <w:bCs/>
                <w:color w:val="auto"/>
                <w:sz w:val="24"/>
              </w:rPr>
              <w:t>K</w:t>
            </w:r>
            <w:r>
              <w:rPr>
                <w:rFonts w:hint="eastAsia" w:ascii="宋体" w:hAnsi="宋体"/>
                <w:bCs/>
                <w:color w:val="auto"/>
                <w:sz w:val="24"/>
              </w:rPr>
              <w:t>g</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07" w:type="dxa"/>
            <w:vAlign w:val="center"/>
          </w:tcPr>
          <w:p>
            <w:pPr>
              <w:spacing w:line="440" w:lineRule="atLeast"/>
              <w:jc w:val="center"/>
              <w:rPr>
                <w:rFonts w:ascii="宋体" w:hAnsi="宋体"/>
                <w:bCs/>
                <w:color w:val="auto"/>
                <w:sz w:val="24"/>
              </w:rPr>
            </w:pPr>
            <w:r>
              <w:rPr>
                <w:rFonts w:hint="eastAsia" w:ascii="宋体" w:hAnsi="宋体"/>
                <w:bCs/>
                <w:color w:val="auto"/>
                <w:sz w:val="24"/>
              </w:rPr>
              <w:t>6</w:t>
            </w:r>
          </w:p>
        </w:tc>
        <w:tc>
          <w:tcPr>
            <w:tcW w:w="884" w:type="dxa"/>
            <w:vMerge w:val="continue"/>
            <w:vAlign w:val="center"/>
          </w:tcPr>
          <w:p>
            <w:pPr>
              <w:spacing w:line="440" w:lineRule="atLeast"/>
              <w:jc w:val="center"/>
              <w:rPr>
                <w:rFonts w:ascii="宋体" w:hAnsi="宋体"/>
                <w:bCs/>
                <w:color w:val="auto"/>
                <w:sz w:val="24"/>
              </w:rPr>
            </w:pPr>
          </w:p>
        </w:tc>
        <w:tc>
          <w:tcPr>
            <w:tcW w:w="1855" w:type="dxa"/>
          </w:tcPr>
          <w:p>
            <w:pPr>
              <w:spacing w:line="440" w:lineRule="atLeast"/>
              <w:ind w:firstLine="240" w:firstLineChars="100"/>
              <w:rPr>
                <w:rFonts w:ascii="宋体" w:hAnsi="宋体"/>
                <w:bCs/>
                <w:color w:val="auto"/>
                <w:sz w:val="24"/>
              </w:rPr>
            </w:pPr>
            <w:r>
              <w:rPr>
                <w:rFonts w:hint="eastAsia" w:ascii="宋体" w:hAnsi="宋体"/>
                <w:bCs/>
                <w:color w:val="auto"/>
                <w:sz w:val="24"/>
              </w:rPr>
              <w:t>额定速度</w:t>
            </w:r>
          </w:p>
        </w:tc>
        <w:tc>
          <w:tcPr>
            <w:tcW w:w="6290" w:type="dxa"/>
          </w:tcPr>
          <w:p>
            <w:pPr>
              <w:spacing w:line="440" w:lineRule="atLeast"/>
              <w:rPr>
                <w:rFonts w:ascii="宋体" w:hAnsi="宋体"/>
                <w:bCs/>
                <w:color w:val="auto"/>
                <w:sz w:val="24"/>
              </w:rPr>
            </w:pPr>
            <w:r>
              <w:rPr>
                <w:rFonts w:hint="eastAsia" w:ascii="宋体" w:hAnsi="宋体"/>
                <w:bCs/>
                <w:color w:val="auto"/>
                <w:sz w:val="24"/>
              </w:rPr>
              <w:t xml:space="preserve">1.0m/s </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07" w:type="dxa"/>
            <w:vAlign w:val="center"/>
          </w:tcPr>
          <w:p>
            <w:pPr>
              <w:spacing w:line="440" w:lineRule="atLeast"/>
              <w:jc w:val="center"/>
              <w:rPr>
                <w:rFonts w:ascii="宋体" w:hAnsi="宋体"/>
                <w:bCs/>
                <w:color w:val="auto"/>
                <w:sz w:val="24"/>
              </w:rPr>
            </w:pPr>
            <w:r>
              <w:rPr>
                <w:rFonts w:hint="eastAsia" w:ascii="宋体" w:hAnsi="宋体"/>
                <w:bCs/>
                <w:color w:val="auto"/>
                <w:sz w:val="24"/>
              </w:rPr>
              <w:t>7</w:t>
            </w:r>
          </w:p>
        </w:tc>
        <w:tc>
          <w:tcPr>
            <w:tcW w:w="884" w:type="dxa"/>
            <w:vMerge w:val="continue"/>
            <w:vAlign w:val="center"/>
          </w:tcPr>
          <w:p>
            <w:pPr>
              <w:spacing w:line="440" w:lineRule="atLeast"/>
              <w:jc w:val="center"/>
              <w:rPr>
                <w:rFonts w:ascii="宋体" w:hAnsi="宋体"/>
                <w:bCs/>
                <w:color w:val="auto"/>
                <w:sz w:val="24"/>
              </w:rPr>
            </w:pPr>
          </w:p>
        </w:tc>
        <w:tc>
          <w:tcPr>
            <w:tcW w:w="1855" w:type="dxa"/>
          </w:tcPr>
          <w:p>
            <w:pPr>
              <w:spacing w:line="440" w:lineRule="atLeast"/>
              <w:ind w:firstLine="360" w:firstLineChars="150"/>
              <w:rPr>
                <w:rFonts w:ascii="宋体" w:hAnsi="宋体"/>
                <w:bCs/>
                <w:color w:val="auto"/>
                <w:sz w:val="24"/>
              </w:rPr>
            </w:pPr>
            <w:r>
              <w:rPr>
                <w:rFonts w:hint="eastAsia" w:ascii="宋体" w:hAnsi="宋体"/>
                <w:bCs/>
                <w:color w:val="auto"/>
                <w:sz w:val="24"/>
              </w:rPr>
              <w:t xml:space="preserve">层站门    </w:t>
            </w:r>
          </w:p>
        </w:tc>
        <w:tc>
          <w:tcPr>
            <w:tcW w:w="6290" w:type="dxa"/>
          </w:tcPr>
          <w:p>
            <w:pPr>
              <w:spacing w:line="440" w:lineRule="atLeast"/>
              <w:rPr>
                <w:rFonts w:ascii="宋体" w:hAnsi="宋体"/>
                <w:bCs/>
                <w:color w:val="auto"/>
                <w:szCs w:val="21"/>
              </w:rPr>
            </w:pPr>
            <w:r>
              <w:rPr>
                <w:rFonts w:hint="eastAsia" w:ascii="宋体" w:hAnsi="宋体"/>
                <w:bCs/>
                <w:color w:val="auto"/>
                <w:sz w:val="24"/>
              </w:rPr>
              <w:t>3/3/3  （停靠层：1,2，3）</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07" w:type="dxa"/>
            <w:vAlign w:val="center"/>
          </w:tcPr>
          <w:p>
            <w:pPr>
              <w:spacing w:line="440" w:lineRule="atLeast"/>
              <w:jc w:val="center"/>
              <w:rPr>
                <w:rFonts w:ascii="宋体" w:hAnsi="宋体"/>
                <w:bCs/>
                <w:color w:val="auto"/>
                <w:sz w:val="24"/>
              </w:rPr>
            </w:pPr>
            <w:r>
              <w:rPr>
                <w:rFonts w:hint="eastAsia" w:ascii="宋体" w:hAnsi="宋体"/>
                <w:bCs/>
                <w:color w:val="auto"/>
                <w:sz w:val="24"/>
              </w:rPr>
              <w:t>8</w:t>
            </w:r>
          </w:p>
        </w:tc>
        <w:tc>
          <w:tcPr>
            <w:tcW w:w="884" w:type="dxa"/>
            <w:vMerge w:val="continue"/>
            <w:vAlign w:val="center"/>
          </w:tcPr>
          <w:p>
            <w:pPr>
              <w:spacing w:line="440" w:lineRule="atLeast"/>
              <w:jc w:val="center"/>
              <w:rPr>
                <w:rFonts w:ascii="宋体" w:hAnsi="宋体"/>
                <w:bCs/>
                <w:color w:val="auto"/>
                <w:sz w:val="24"/>
              </w:rPr>
            </w:pPr>
          </w:p>
        </w:tc>
        <w:tc>
          <w:tcPr>
            <w:tcW w:w="1855" w:type="dxa"/>
          </w:tcPr>
          <w:p>
            <w:pPr>
              <w:spacing w:line="440" w:lineRule="atLeast"/>
              <w:ind w:firstLine="240" w:firstLineChars="100"/>
              <w:rPr>
                <w:rFonts w:ascii="宋体" w:hAnsi="宋体"/>
                <w:bCs/>
                <w:color w:val="auto"/>
                <w:sz w:val="24"/>
              </w:rPr>
            </w:pPr>
            <w:r>
              <w:rPr>
                <w:rFonts w:hint="eastAsia" w:ascii="宋体" w:hAnsi="宋体"/>
                <w:bCs/>
                <w:color w:val="auto"/>
                <w:sz w:val="24"/>
              </w:rPr>
              <w:t>电源要求</w:t>
            </w:r>
          </w:p>
        </w:tc>
        <w:tc>
          <w:tcPr>
            <w:tcW w:w="6290" w:type="dxa"/>
          </w:tcPr>
          <w:p>
            <w:pPr>
              <w:spacing w:line="440" w:lineRule="atLeast"/>
              <w:rPr>
                <w:rFonts w:ascii="宋体" w:hAnsi="宋体"/>
                <w:bCs/>
                <w:color w:val="auto"/>
                <w:sz w:val="24"/>
              </w:rPr>
            </w:pPr>
            <w:r>
              <w:rPr>
                <w:rFonts w:hint="eastAsia" w:ascii="宋体" w:hAnsi="宋体"/>
                <w:bCs/>
                <w:color w:val="auto"/>
                <w:sz w:val="24"/>
              </w:rPr>
              <w:t xml:space="preserve">动力电源 - 交流三相五线  380V, 50HZ </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07" w:type="dxa"/>
            <w:vAlign w:val="center"/>
          </w:tcPr>
          <w:p>
            <w:pPr>
              <w:spacing w:line="340" w:lineRule="exact"/>
              <w:jc w:val="center"/>
              <w:rPr>
                <w:rFonts w:ascii="宋体" w:hAnsi="宋体"/>
                <w:bCs/>
                <w:color w:val="auto"/>
                <w:sz w:val="24"/>
              </w:rPr>
            </w:pPr>
            <w:r>
              <w:rPr>
                <w:rFonts w:hint="eastAsia" w:ascii="宋体" w:hAnsi="宋体"/>
                <w:bCs/>
                <w:color w:val="auto"/>
                <w:sz w:val="24"/>
              </w:rPr>
              <w:t>9</w:t>
            </w:r>
          </w:p>
        </w:tc>
        <w:tc>
          <w:tcPr>
            <w:tcW w:w="884" w:type="dxa"/>
            <w:vMerge w:val="continue"/>
            <w:vAlign w:val="center"/>
          </w:tcPr>
          <w:p>
            <w:pPr>
              <w:spacing w:line="340" w:lineRule="exact"/>
              <w:ind w:left="420"/>
              <w:jc w:val="center"/>
              <w:rPr>
                <w:rFonts w:ascii="宋体" w:hAnsi="宋体"/>
                <w:bCs/>
                <w:color w:val="auto"/>
                <w:sz w:val="24"/>
              </w:rPr>
            </w:pPr>
          </w:p>
        </w:tc>
        <w:tc>
          <w:tcPr>
            <w:tcW w:w="1855" w:type="dxa"/>
          </w:tcPr>
          <w:p>
            <w:pPr>
              <w:spacing w:line="340" w:lineRule="exact"/>
              <w:rPr>
                <w:rFonts w:ascii="宋体" w:hAnsi="宋体"/>
                <w:bCs/>
                <w:color w:val="auto"/>
                <w:sz w:val="24"/>
              </w:rPr>
            </w:pPr>
          </w:p>
        </w:tc>
        <w:tc>
          <w:tcPr>
            <w:tcW w:w="6290" w:type="dxa"/>
          </w:tcPr>
          <w:p>
            <w:pPr>
              <w:spacing w:line="340" w:lineRule="exact"/>
              <w:rPr>
                <w:rFonts w:ascii="宋体" w:hAnsi="宋体"/>
                <w:bCs/>
                <w:color w:val="auto"/>
                <w:sz w:val="24"/>
              </w:rPr>
            </w:pPr>
            <w:r>
              <w:rPr>
                <w:rFonts w:hint="eastAsia" w:ascii="宋体" w:hAnsi="宋体"/>
                <w:bCs/>
                <w:color w:val="auto"/>
                <w:sz w:val="24"/>
              </w:rPr>
              <w:t>照明电源 - 单        相  220V, 50HZ</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07" w:type="dxa"/>
            <w:vAlign w:val="center"/>
          </w:tcPr>
          <w:p>
            <w:pPr>
              <w:spacing w:line="340" w:lineRule="exact"/>
              <w:jc w:val="center"/>
              <w:rPr>
                <w:rFonts w:ascii="宋体" w:hAnsi="宋体"/>
                <w:bCs/>
                <w:color w:val="auto"/>
                <w:sz w:val="24"/>
              </w:rPr>
            </w:pPr>
            <w:r>
              <w:rPr>
                <w:rFonts w:hint="eastAsia" w:ascii="宋体" w:hAnsi="宋体"/>
                <w:bCs/>
                <w:color w:val="auto"/>
                <w:sz w:val="24"/>
              </w:rPr>
              <w:t>10</w:t>
            </w:r>
          </w:p>
        </w:tc>
        <w:tc>
          <w:tcPr>
            <w:tcW w:w="884" w:type="dxa"/>
            <w:vMerge w:val="restart"/>
            <w:vAlign w:val="center"/>
          </w:tcPr>
          <w:p>
            <w:pPr>
              <w:spacing w:line="340" w:lineRule="exact"/>
              <w:jc w:val="center"/>
              <w:rPr>
                <w:rFonts w:ascii="宋体" w:hAnsi="宋体"/>
                <w:bCs/>
                <w:color w:val="auto"/>
                <w:sz w:val="24"/>
              </w:rPr>
            </w:pPr>
            <w:r>
              <w:rPr>
                <w:rFonts w:hint="eastAsia" w:ascii="宋体" w:hAnsi="宋体"/>
                <w:color w:val="auto"/>
                <w:sz w:val="24"/>
              </w:rPr>
              <w:t>出入口设计</w:t>
            </w:r>
          </w:p>
        </w:tc>
        <w:tc>
          <w:tcPr>
            <w:tcW w:w="1855" w:type="dxa"/>
          </w:tcPr>
          <w:p>
            <w:pPr>
              <w:spacing w:line="340" w:lineRule="exact"/>
              <w:ind w:firstLine="240" w:firstLineChars="100"/>
              <w:rPr>
                <w:rFonts w:ascii="宋体" w:hAnsi="宋体"/>
                <w:color w:val="auto"/>
                <w:sz w:val="24"/>
              </w:rPr>
            </w:pPr>
            <w:r>
              <w:rPr>
                <w:rFonts w:hint="eastAsia" w:ascii="宋体" w:hAnsi="宋体"/>
                <w:bCs/>
                <w:color w:val="auto"/>
                <w:sz w:val="24"/>
              </w:rPr>
              <w:t>开门方式</w:t>
            </w:r>
          </w:p>
        </w:tc>
        <w:tc>
          <w:tcPr>
            <w:tcW w:w="6290" w:type="dxa"/>
          </w:tcPr>
          <w:p>
            <w:pPr>
              <w:spacing w:line="340" w:lineRule="exact"/>
              <w:rPr>
                <w:rFonts w:ascii="宋体" w:hAnsi="宋体"/>
                <w:color w:val="auto"/>
                <w:sz w:val="24"/>
              </w:rPr>
            </w:pPr>
            <w:r>
              <w:rPr>
                <w:rFonts w:hint="eastAsia" w:ascii="宋体" w:hAnsi="宋体"/>
                <w:bCs/>
                <w:color w:val="auto"/>
                <w:sz w:val="24"/>
              </w:rPr>
              <w:t>中分</w:t>
            </w:r>
            <w:r>
              <w:rPr>
                <w:rFonts w:hint="eastAsia" w:ascii="宋体" w:hAnsi="宋体"/>
                <w:color w:val="auto"/>
                <w:sz w:val="18"/>
                <w:szCs w:val="18"/>
              </w:rPr>
              <w:t>（</w:t>
            </w:r>
            <w:r>
              <w:rPr>
                <w:rFonts w:hint="eastAsia" w:asciiTheme="minorEastAsia" w:hAnsiTheme="minorEastAsia"/>
                <w:bCs/>
                <w:color w:val="auto"/>
                <w:sz w:val="18"/>
                <w:szCs w:val="18"/>
              </w:rPr>
              <w:t>最终以双方确认方案图为准</w:t>
            </w:r>
            <w:r>
              <w:rPr>
                <w:rFonts w:hint="eastAsia" w:ascii="宋体" w:hAnsi="宋体"/>
                <w:color w:val="auto"/>
                <w:sz w:val="18"/>
                <w:szCs w:val="18"/>
              </w:rPr>
              <w:t>）</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07" w:type="dxa"/>
            <w:vAlign w:val="center"/>
          </w:tcPr>
          <w:p>
            <w:pPr>
              <w:spacing w:line="440" w:lineRule="atLeast"/>
              <w:jc w:val="center"/>
              <w:rPr>
                <w:rFonts w:ascii="宋体" w:hAnsi="宋体"/>
                <w:bCs/>
                <w:color w:val="auto"/>
                <w:sz w:val="24"/>
              </w:rPr>
            </w:pPr>
            <w:r>
              <w:rPr>
                <w:rFonts w:hint="eastAsia" w:ascii="宋体" w:hAnsi="宋体"/>
                <w:bCs/>
                <w:color w:val="auto"/>
                <w:sz w:val="24"/>
              </w:rPr>
              <w:t>11</w:t>
            </w:r>
          </w:p>
        </w:tc>
        <w:tc>
          <w:tcPr>
            <w:tcW w:w="884" w:type="dxa"/>
            <w:vMerge w:val="continue"/>
            <w:vAlign w:val="center"/>
          </w:tcPr>
          <w:p>
            <w:pPr>
              <w:spacing w:line="340" w:lineRule="exact"/>
              <w:jc w:val="center"/>
              <w:rPr>
                <w:rFonts w:ascii="宋体" w:hAnsi="宋体"/>
                <w:color w:val="auto"/>
                <w:sz w:val="24"/>
              </w:rPr>
            </w:pPr>
          </w:p>
        </w:tc>
        <w:tc>
          <w:tcPr>
            <w:tcW w:w="1855" w:type="dxa"/>
          </w:tcPr>
          <w:p>
            <w:pPr>
              <w:spacing w:line="440" w:lineRule="atLeast"/>
              <w:ind w:firstLine="120" w:firstLineChars="50"/>
              <w:rPr>
                <w:rFonts w:ascii="宋体" w:hAnsi="宋体"/>
                <w:bCs/>
                <w:color w:val="auto"/>
                <w:sz w:val="24"/>
              </w:rPr>
            </w:pPr>
            <w:r>
              <w:rPr>
                <w:rFonts w:hint="eastAsia" w:ascii="宋体" w:hAnsi="宋体"/>
                <w:bCs/>
                <w:color w:val="auto"/>
                <w:sz w:val="24"/>
              </w:rPr>
              <w:t>出入口尺寸</w:t>
            </w:r>
          </w:p>
        </w:tc>
        <w:tc>
          <w:tcPr>
            <w:tcW w:w="6290" w:type="dxa"/>
          </w:tcPr>
          <w:p>
            <w:pPr>
              <w:spacing w:line="440" w:lineRule="atLeast"/>
              <w:rPr>
                <w:rFonts w:ascii="宋体" w:hAnsi="宋体"/>
                <w:bCs/>
                <w:color w:val="auto"/>
                <w:sz w:val="24"/>
              </w:rPr>
            </w:pPr>
            <w:r>
              <w:rPr>
                <w:rFonts w:hint="eastAsia" w:ascii="宋体" w:hAnsi="宋体"/>
                <w:bCs/>
                <w:color w:val="auto"/>
                <w:sz w:val="24"/>
              </w:rPr>
              <w:t>900mm宽* 2100mm高</w:t>
            </w:r>
            <w:r>
              <w:rPr>
                <w:rFonts w:hint="eastAsia" w:ascii="宋体" w:hAnsi="宋体"/>
                <w:color w:val="auto"/>
                <w:sz w:val="18"/>
                <w:szCs w:val="18"/>
              </w:rPr>
              <w:t>（</w:t>
            </w:r>
            <w:r>
              <w:rPr>
                <w:rFonts w:hint="eastAsia" w:asciiTheme="minorEastAsia" w:hAnsiTheme="minorEastAsia"/>
                <w:bCs/>
                <w:color w:val="auto"/>
                <w:sz w:val="18"/>
                <w:szCs w:val="18"/>
              </w:rPr>
              <w:t>最终以双方确认方案图为准</w:t>
            </w:r>
            <w:r>
              <w:rPr>
                <w:rFonts w:hint="eastAsia" w:ascii="宋体" w:hAnsi="宋体"/>
                <w:color w:val="auto"/>
                <w:sz w:val="18"/>
                <w:szCs w:val="18"/>
              </w:rPr>
              <w:t>）</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07" w:type="dxa"/>
            <w:vAlign w:val="center"/>
          </w:tcPr>
          <w:p>
            <w:pPr>
              <w:spacing w:line="440" w:lineRule="atLeast"/>
              <w:jc w:val="center"/>
              <w:rPr>
                <w:rFonts w:ascii="宋体" w:hAnsi="宋体"/>
                <w:bCs/>
                <w:color w:val="auto"/>
                <w:sz w:val="24"/>
              </w:rPr>
            </w:pPr>
            <w:r>
              <w:rPr>
                <w:rFonts w:hint="eastAsia" w:ascii="宋体" w:hAnsi="宋体"/>
                <w:bCs/>
                <w:color w:val="auto"/>
                <w:sz w:val="24"/>
              </w:rPr>
              <w:t>12</w:t>
            </w:r>
          </w:p>
        </w:tc>
        <w:tc>
          <w:tcPr>
            <w:tcW w:w="884" w:type="dxa"/>
            <w:vMerge w:val="continue"/>
            <w:vAlign w:val="center"/>
          </w:tcPr>
          <w:p>
            <w:pPr>
              <w:spacing w:line="440" w:lineRule="atLeast"/>
              <w:jc w:val="center"/>
              <w:rPr>
                <w:rFonts w:ascii="宋体" w:hAnsi="宋体"/>
                <w:bCs/>
                <w:color w:val="auto"/>
                <w:sz w:val="24"/>
              </w:rPr>
            </w:pPr>
          </w:p>
        </w:tc>
        <w:tc>
          <w:tcPr>
            <w:tcW w:w="1855" w:type="dxa"/>
          </w:tcPr>
          <w:p>
            <w:pPr>
              <w:spacing w:line="440" w:lineRule="exact"/>
              <w:ind w:firstLine="480" w:firstLineChars="200"/>
              <w:rPr>
                <w:rFonts w:ascii="宋体" w:hAnsi="宋体"/>
                <w:bCs/>
                <w:color w:val="auto"/>
                <w:sz w:val="24"/>
              </w:rPr>
            </w:pPr>
            <w:r>
              <w:rPr>
                <w:rFonts w:hint="eastAsia" w:ascii="宋体" w:hAnsi="宋体"/>
                <w:bCs/>
                <w:color w:val="auto"/>
                <w:sz w:val="24"/>
              </w:rPr>
              <w:t>门框</w:t>
            </w:r>
          </w:p>
        </w:tc>
        <w:tc>
          <w:tcPr>
            <w:tcW w:w="6290" w:type="dxa"/>
          </w:tcPr>
          <w:p>
            <w:pPr>
              <w:spacing w:line="440" w:lineRule="exact"/>
              <w:rPr>
                <w:rFonts w:ascii="宋体" w:hAnsi="宋体"/>
                <w:bCs/>
                <w:color w:val="auto"/>
                <w:sz w:val="24"/>
              </w:rPr>
            </w:pPr>
            <w:r>
              <w:rPr>
                <w:rFonts w:hint="eastAsia" w:ascii="宋体" w:hAnsi="宋体"/>
                <w:color w:val="auto"/>
                <w:sz w:val="24"/>
              </w:rPr>
              <w:t>层层发纹不锈钢小门套</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07" w:type="dxa"/>
            <w:vAlign w:val="center"/>
          </w:tcPr>
          <w:p>
            <w:pPr>
              <w:spacing w:line="440" w:lineRule="exact"/>
              <w:jc w:val="center"/>
              <w:rPr>
                <w:rFonts w:ascii="宋体" w:hAnsi="宋体"/>
                <w:bCs/>
                <w:color w:val="auto"/>
                <w:sz w:val="24"/>
              </w:rPr>
            </w:pPr>
            <w:r>
              <w:rPr>
                <w:rFonts w:hint="eastAsia" w:ascii="宋体" w:hAnsi="宋体"/>
                <w:bCs/>
                <w:color w:val="auto"/>
                <w:sz w:val="24"/>
              </w:rPr>
              <w:t>13</w:t>
            </w:r>
          </w:p>
        </w:tc>
        <w:tc>
          <w:tcPr>
            <w:tcW w:w="884" w:type="dxa"/>
            <w:vMerge w:val="continue"/>
            <w:vAlign w:val="center"/>
          </w:tcPr>
          <w:p>
            <w:pPr>
              <w:spacing w:line="440" w:lineRule="exact"/>
              <w:ind w:left="420"/>
              <w:jc w:val="center"/>
              <w:rPr>
                <w:rFonts w:ascii="宋体" w:hAnsi="宋体"/>
                <w:bCs/>
                <w:color w:val="auto"/>
                <w:sz w:val="24"/>
              </w:rPr>
            </w:pPr>
          </w:p>
        </w:tc>
        <w:tc>
          <w:tcPr>
            <w:tcW w:w="1855" w:type="dxa"/>
          </w:tcPr>
          <w:p>
            <w:pPr>
              <w:spacing w:line="440" w:lineRule="exact"/>
              <w:ind w:firstLine="240" w:firstLineChars="100"/>
              <w:rPr>
                <w:rFonts w:ascii="宋体" w:hAnsi="宋体"/>
                <w:bCs/>
                <w:color w:val="auto"/>
                <w:sz w:val="24"/>
              </w:rPr>
            </w:pPr>
            <w:r>
              <w:rPr>
                <w:rFonts w:hint="eastAsia" w:ascii="宋体" w:hAnsi="宋体"/>
                <w:bCs/>
                <w:color w:val="auto"/>
                <w:sz w:val="24"/>
              </w:rPr>
              <w:t>出入口门</w:t>
            </w:r>
          </w:p>
        </w:tc>
        <w:tc>
          <w:tcPr>
            <w:tcW w:w="6290" w:type="dxa"/>
          </w:tcPr>
          <w:p>
            <w:pPr>
              <w:spacing w:line="440" w:lineRule="exact"/>
              <w:rPr>
                <w:rFonts w:ascii="宋体" w:hAnsi="宋体"/>
                <w:bCs/>
                <w:color w:val="auto"/>
                <w:sz w:val="24"/>
              </w:rPr>
            </w:pPr>
            <w:r>
              <w:rPr>
                <w:rFonts w:hint="eastAsia" w:ascii="宋体" w:hAnsi="宋体"/>
                <w:color w:val="auto"/>
                <w:sz w:val="24"/>
              </w:rPr>
              <w:t>层层发纹不锈钢门板</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7" w:type="dxa"/>
            <w:vAlign w:val="center"/>
          </w:tcPr>
          <w:p>
            <w:pPr>
              <w:spacing w:line="440" w:lineRule="exact"/>
              <w:jc w:val="center"/>
              <w:rPr>
                <w:rFonts w:ascii="宋体" w:hAnsi="宋体"/>
                <w:bCs/>
                <w:color w:val="auto"/>
                <w:sz w:val="24"/>
              </w:rPr>
            </w:pPr>
            <w:r>
              <w:rPr>
                <w:rFonts w:hint="eastAsia" w:ascii="宋体" w:hAnsi="宋体"/>
                <w:bCs/>
                <w:color w:val="auto"/>
                <w:sz w:val="24"/>
              </w:rPr>
              <w:t>14</w:t>
            </w:r>
          </w:p>
        </w:tc>
        <w:tc>
          <w:tcPr>
            <w:tcW w:w="884" w:type="dxa"/>
            <w:vMerge w:val="continue"/>
            <w:vAlign w:val="center"/>
          </w:tcPr>
          <w:p>
            <w:pPr>
              <w:spacing w:line="440" w:lineRule="exact"/>
              <w:ind w:left="420"/>
              <w:jc w:val="center"/>
              <w:rPr>
                <w:rFonts w:ascii="宋体" w:hAnsi="宋体"/>
                <w:bCs/>
                <w:color w:val="auto"/>
                <w:sz w:val="24"/>
              </w:rPr>
            </w:pPr>
          </w:p>
        </w:tc>
        <w:tc>
          <w:tcPr>
            <w:tcW w:w="1855" w:type="dxa"/>
          </w:tcPr>
          <w:p>
            <w:pPr>
              <w:spacing w:line="440" w:lineRule="exact"/>
              <w:rPr>
                <w:rFonts w:ascii="宋体" w:hAnsi="宋体"/>
                <w:bCs/>
                <w:color w:val="auto"/>
                <w:szCs w:val="21"/>
              </w:rPr>
            </w:pPr>
            <w:r>
              <w:rPr>
                <w:rFonts w:hint="eastAsia" w:ascii="宋体" w:hAnsi="宋体"/>
                <w:bCs/>
                <w:color w:val="auto"/>
                <w:sz w:val="24"/>
                <w:szCs w:val="21"/>
              </w:rPr>
              <w:t>出入口指示器</w:t>
            </w:r>
          </w:p>
        </w:tc>
        <w:tc>
          <w:tcPr>
            <w:tcW w:w="6290" w:type="dxa"/>
          </w:tcPr>
          <w:p>
            <w:pPr>
              <w:spacing w:line="440" w:lineRule="exact"/>
              <w:rPr>
                <w:rFonts w:ascii="宋体" w:hAnsi="宋体"/>
                <w:bCs/>
                <w:color w:val="auto"/>
                <w:sz w:val="24"/>
              </w:rPr>
            </w:pPr>
            <w:r>
              <w:rPr>
                <w:rFonts w:hint="eastAsia" w:ascii="宋体" w:hAnsi="宋体"/>
                <w:bCs/>
                <w:color w:val="auto"/>
                <w:sz w:val="24"/>
              </w:rPr>
              <w:t>带白色段码液晶显示器和方向指示器</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spacing w:line="440" w:lineRule="atLeast"/>
              <w:jc w:val="center"/>
              <w:rPr>
                <w:rFonts w:ascii="宋体" w:hAnsi="宋体"/>
                <w:bCs/>
                <w:color w:val="auto"/>
                <w:sz w:val="24"/>
              </w:rPr>
            </w:pPr>
            <w:r>
              <w:rPr>
                <w:rFonts w:hint="eastAsia" w:ascii="宋体" w:hAnsi="宋体"/>
                <w:bCs/>
                <w:color w:val="auto"/>
                <w:sz w:val="24"/>
              </w:rPr>
              <w:t>15</w:t>
            </w:r>
          </w:p>
        </w:tc>
        <w:tc>
          <w:tcPr>
            <w:tcW w:w="884" w:type="dxa"/>
            <w:vMerge w:val="restart"/>
            <w:vAlign w:val="center"/>
          </w:tcPr>
          <w:p>
            <w:pPr>
              <w:spacing w:line="440" w:lineRule="atLeast"/>
              <w:ind w:firstLine="120" w:firstLineChars="50"/>
              <w:jc w:val="center"/>
              <w:rPr>
                <w:rFonts w:ascii="宋体" w:hAnsi="宋体"/>
                <w:color w:val="auto"/>
                <w:sz w:val="24"/>
              </w:rPr>
            </w:pPr>
            <w:r>
              <w:rPr>
                <w:rFonts w:hint="eastAsia" w:ascii="宋体" w:hAnsi="宋体"/>
                <w:color w:val="auto"/>
                <w:sz w:val="24"/>
              </w:rPr>
              <w:t>轿厢设计</w:t>
            </w:r>
          </w:p>
          <w:p>
            <w:pPr>
              <w:spacing w:line="440" w:lineRule="atLeast"/>
              <w:rPr>
                <w:rFonts w:ascii="宋体" w:hAnsi="宋体"/>
                <w:bCs/>
                <w:color w:val="auto"/>
                <w:sz w:val="24"/>
              </w:rPr>
            </w:pPr>
            <w:r>
              <w:rPr>
                <w:rFonts w:hint="eastAsia" w:ascii="宋体" w:hAnsi="宋体"/>
                <w:color w:val="auto"/>
                <w:sz w:val="24"/>
              </w:rPr>
              <w:t>Y</w:t>
            </w:r>
            <w:r>
              <w:rPr>
                <w:rFonts w:ascii="宋体" w:hAnsi="宋体"/>
                <w:color w:val="auto"/>
                <w:sz w:val="24"/>
              </w:rPr>
              <w:t>D001</w:t>
            </w:r>
          </w:p>
        </w:tc>
        <w:tc>
          <w:tcPr>
            <w:tcW w:w="1855" w:type="dxa"/>
          </w:tcPr>
          <w:p>
            <w:pPr>
              <w:spacing w:line="440" w:lineRule="atLeast"/>
              <w:ind w:firstLine="240" w:firstLineChars="100"/>
              <w:rPr>
                <w:rFonts w:ascii="宋体" w:hAnsi="宋体"/>
                <w:color w:val="auto"/>
                <w:sz w:val="24"/>
              </w:rPr>
            </w:pPr>
            <w:r>
              <w:rPr>
                <w:rFonts w:hint="eastAsia" w:ascii="宋体" w:hAnsi="宋体"/>
                <w:bCs/>
                <w:color w:val="auto"/>
                <w:sz w:val="24"/>
              </w:rPr>
              <w:t>轿厢尺寸</w:t>
            </w:r>
            <w:r>
              <w:rPr>
                <w:rFonts w:ascii="宋体" w:hAnsi="宋体"/>
                <w:bCs/>
                <w:color w:val="auto"/>
                <w:sz w:val="24"/>
              </w:rPr>
              <w:t xml:space="preserve">  </w:t>
            </w:r>
            <w:r>
              <w:rPr>
                <w:rFonts w:hint="eastAsia" w:ascii="宋体" w:hAnsi="宋体"/>
                <w:bCs/>
                <w:color w:val="auto"/>
                <w:sz w:val="24"/>
              </w:rPr>
              <w:t xml:space="preserve">  </w:t>
            </w:r>
          </w:p>
        </w:tc>
        <w:tc>
          <w:tcPr>
            <w:tcW w:w="6290" w:type="dxa"/>
          </w:tcPr>
          <w:p>
            <w:pPr>
              <w:spacing w:line="440" w:lineRule="atLeast"/>
              <w:rPr>
                <w:rFonts w:ascii="宋体" w:hAnsi="宋体"/>
                <w:color w:val="auto"/>
                <w:sz w:val="24"/>
              </w:rPr>
            </w:pPr>
            <w:r>
              <w:rPr>
                <w:rFonts w:hint="eastAsia" w:ascii="宋体" w:hAnsi="宋体"/>
                <w:color w:val="auto"/>
                <w:sz w:val="24"/>
              </w:rPr>
              <w:t>1450mm宽*1550mm深*2400mm高</w:t>
            </w:r>
            <w:r>
              <w:rPr>
                <w:rFonts w:hint="eastAsia" w:ascii="宋体" w:hAnsi="宋体"/>
                <w:color w:val="auto"/>
                <w:sz w:val="18"/>
                <w:szCs w:val="18"/>
              </w:rPr>
              <w:t>（</w:t>
            </w:r>
            <w:r>
              <w:rPr>
                <w:rFonts w:hint="eastAsia" w:asciiTheme="minorEastAsia" w:hAnsiTheme="minorEastAsia"/>
                <w:bCs/>
                <w:color w:val="auto"/>
                <w:sz w:val="18"/>
                <w:szCs w:val="18"/>
              </w:rPr>
              <w:t>最终以双方确认方案图为准</w:t>
            </w:r>
            <w:r>
              <w:rPr>
                <w:rFonts w:hint="eastAsia" w:ascii="宋体" w:hAnsi="宋体"/>
                <w:color w:val="auto"/>
                <w:sz w:val="18"/>
                <w:szCs w:val="18"/>
              </w:rPr>
              <w:t>）</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7" w:type="dxa"/>
            <w:vAlign w:val="center"/>
          </w:tcPr>
          <w:p>
            <w:pPr>
              <w:spacing w:line="440" w:lineRule="atLeast"/>
              <w:jc w:val="center"/>
              <w:rPr>
                <w:rFonts w:ascii="宋体" w:hAnsi="宋体"/>
                <w:color w:val="auto"/>
                <w:sz w:val="24"/>
              </w:rPr>
            </w:pPr>
            <w:r>
              <w:rPr>
                <w:rFonts w:hint="eastAsia" w:ascii="宋体" w:hAnsi="宋体"/>
                <w:color w:val="auto"/>
                <w:sz w:val="24"/>
              </w:rPr>
              <w:t>16</w:t>
            </w:r>
          </w:p>
        </w:tc>
        <w:tc>
          <w:tcPr>
            <w:tcW w:w="884" w:type="dxa"/>
            <w:vMerge w:val="continue"/>
          </w:tcPr>
          <w:p>
            <w:pPr>
              <w:spacing w:line="440" w:lineRule="atLeast"/>
              <w:rPr>
                <w:rFonts w:ascii="宋体" w:hAnsi="宋体"/>
                <w:color w:val="auto"/>
                <w:sz w:val="24"/>
              </w:rPr>
            </w:pPr>
          </w:p>
        </w:tc>
        <w:tc>
          <w:tcPr>
            <w:tcW w:w="1855" w:type="dxa"/>
          </w:tcPr>
          <w:p>
            <w:pPr>
              <w:spacing w:line="440" w:lineRule="atLeast"/>
              <w:ind w:firstLine="240" w:firstLineChars="100"/>
              <w:rPr>
                <w:rFonts w:ascii="宋体" w:hAnsi="宋体"/>
                <w:bCs/>
                <w:color w:val="auto"/>
                <w:sz w:val="24"/>
              </w:rPr>
            </w:pPr>
            <w:r>
              <w:rPr>
                <w:rFonts w:hint="eastAsia" w:ascii="宋体" w:hAnsi="宋体"/>
                <w:bCs/>
                <w:color w:val="auto"/>
                <w:sz w:val="24"/>
              </w:rPr>
              <w:t>轿厢壁板</w:t>
            </w:r>
          </w:p>
        </w:tc>
        <w:tc>
          <w:tcPr>
            <w:tcW w:w="6290" w:type="dxa"/>
          </w:tcPr>
          <w:p>
            <w:pPr>
              <w:spacing w:line="440" w:lineRule="atLeast"/>
              <w:rPr>
                <w:rFonts w:ascii="宋体" w:hAnsi="宋体"/>
                <w:bCs/>
                <w:color w:val="auto"/>
                <w:sz w:val="24"/>
              </w:rPr>
            </w:pPr>
            <w:r>
              <w:rPr>
                <w:rFonts w:hint="eastAsia" w:ascii="宋体" w:hAnsi="宋体"/>
                <w:color w:val="auto"/>
                <w:sz w:val="24"/>
              </w:rPr>
              <w:t>发纹复合不锈钢装饰</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7" w:type="dxa"/>
            <w:vAlign w:val="center"/>
          </w:tcPr>
          <w:p>
            <w:pPr>
              <w:spacing w:line="440" w:lineRule="atLeast"/>
              <w:jc w:val="center"/>
              <w:rPr>
                <w:rFonts w:ascii="宋体" w:hAnsi="宋体"/>
                <w:bCs/>
                <w:color w:val="auto"/>
                <w:sz w:val="24"/>
              </w:rPr>
            </w:pPr>
            <w:r>
              <w:rPr>
                <w:rFonts w:hint="eastAsia" w:ascii="宋体" w:hAnsi="宋体"/>
                <w:bCs/>
                <w:color w:val="auto"/>
                <w:sz w:val="24"/>
              </w:rPr>
              <w:t>17</w:t>
            </w:r>
          </w:p>
        </w:tc>
        <w:tc>
          <w:tcPr>
            <w:tcW w:w="884" w:type="dxa"/>
            <w:vMerge w:val="continue"/>
          </w:tcPr>
          <w:p>
            <w:pPr>
              <w:spacing w:line="440" w:lineRule="atLeast"/>
              <w:ind w:left="180" w:firstLine="480"/>
              <w:rPr>
                <w:rFonts w:ascii="宋体" w:hAnsi="宋体"/>
                <w:bCs/>
                <w:color w:val="auto"/>
                <w:sz w:val="24"/>
              </w:rPr>
            </w:pPr>
          </w:p>
        </w:tc>
        <w:tc>
          <w:tcPr>
            <w:tcW w:w="1855" w:type="dxa"/>
          </w:tcPr>
          <w:p>
            <w:pPr>
              <w:spacing w:line="440" w:lineRule="atLeast"/>
              <w:ind w:firstLine="360" w:firstLineChars="150"/>
              <w:rPr>
                <w:rFonts w:ascii="宋体" w:hAnsi="宋体"/>
                <w:bCs/>
                <w:color w:val="auto"/>
                <w:sz w:val="24"/>
              </w:rPr>
            </w:pPr>
            <w:r>
              <w:rPr>
                <w:rFonts w:hint="eastAsia" w:ascii="宋体" w:hAnsi="宋体"/>
                <w:bCs/>
                <w:color w:val="auto"/>
                <w:sz w:val="24"/>
              </w:rPr>
              <w:t>轿厢门</w:t>
            </w:r>
          </w:p>
        </w:tc>
        <w:tc>
          <w:tcPr>
            <w:tcW w:w="6290" w:type="dxa"/>
          </w:tcPr>
          <w:p>
            <w:pPr>
              <w:spacing w:line="440" w:lineRule="atLeast"/>
              <w:rPr>
                <w:rFonts w:ascii="宋体" w:hAnsi="宋体"/>
                <w:bCs/>
                <w:color w:val="auto"/>
                <w:sz w:val="24"/>
              </w:rPr>
            </w:pPr>
            <w:r>
              <w:rPr>
                <w:rFonts w:hint="eastAsia" w:ascii="宋体" w:hAnsi="宋体"/>
                <w:color w:val="auto"/>
                <w:sz w:val="24"/>
              </w:rPr>
              <w:t>发纹复合不锈钢装饰</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07" w:type="dxa"/>
            <w:vAlign w:val="center"/>
          </w:tcPr>
          <w:p>
            <w:pPr>
              <w:spacing w:line="440" w:lineRule="atLeast"/>
              <w:jc w:val="center"/>
              <w:rPr>
                <w:rFonts w:ascii="宋体" w:hAnsi="宋体"/>
                <w:bCs/>
                <w:color w:val="auto"/>
                <w:sz w:val="24"/>
              </w:rPr>
            </w:pPr>
            <w:r>
              <w:rPr>
                <w:rFonts w:hint="eastAsia" w:ascii="宋体" w:hAnsi="宋体"/>
                <w:bCs/>
                <w:color w:val="auto"/>
                <w:sz w:val="24"/>
              </w:rPr>
              <w:t>18</w:t>
            </w:r>
          </w:p>
        </w:tc>
        <w:tc>
          <w:tcPr>
            <w:tcW w:w="884" w:type="dxa"/>
            <w:vMerge w:val="continue"/>
          </w:tcPr>
          <w:p>
            <w:pPr>
              <w:spacing w:line="440" w:lineRule="atLeast"/>
              <w:ind w:left="180" w:firstLine="480"/>
              <w:rPr>
                <w:rFonts w:ascii="宋体" w:hAnsi="宋体"/>
                <w:bCs/>
                <w:color w:val="auto"/>
                <w:sz w:val="24"/>
              </w:rPr>
            </w:pPr>
          </w:p>
        </w:tc>
        <w:tc>
          <w:tcPr>
            <w:tcW w:w="1855" w:type="dxa"/>
          </w:tcPr>
          <w:p>
            <w:pPr>
              <w:spacing w:line="440" w:lineRule="atLeast"/>
              <w:ind w:firstLine="120" w:firstLineChars="50"/>
              <w:rPr>
                <w:rFonts w:ascii="宋体" w:hAnsi="宋体"/>
                <w:bCs/>
                <w:color w:val="auto"/>
                <w:sz w:val="24"/>
              </w:rPr>
            </w:pPr>
            <w:r>
              <w:rPr>
                <w:rFonts w:hint="eastAsia" w:ascii="宋体" w:hAnsi="宋体"/>
                <w:bCs/>
                <w:color w:val="auto"/>
                <w:sz w:val="24"/>
              </w:rPr>
              <w:t>轿厢天花板</w:t>
            </w:r>
          </w:p>
        </w:tc>
        <w:tc>
          <w:tcPr>
            <w:tcW w:w="6290" w:type="dxa"/>
          </w:tcPr>
          <w:p>
            <w:pPr>
              <w:spacing w:line="440" w:lineRule="atLeast"/>
              <w:rPr>
                <w:rFonts w:ascii="宋体" w:hAnsi="宋体"/>
                <w:bCs/>
                <w:color w:val="auto"/>
                <w:sz w:val="24"/>
              </w:rPr>
            </w:pPr>
            <w:r>
              <w:rPr>
                <w:rFonts w:hint="eastAsia" w:ascii="宋体" w:hAnsi="宋体"/>
                <w:color w:val="auto"/>
                <w:sz w:val="24"/>
              </w:rPr>
              <w:t>镜面不锈钢面板+亚克力透光板漫反射+ＬＥＤ筒灯</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07" w:type="dxa"/>
            <w:vAlign w:val="center"/>
          </w:tcPr>
          <w:p>
            <w:pPr>
              <w:spacing w:line="440" w:lineRule="atLeast"/>
              <w:jc w:val="center"/>
              <w:rPr>
                <w:rFonts w:ascii="宋体" w:hAnsi="宋体"/>
                <w:bCs/>
                <w:color w:val="auto"/>
                <w:sz w:val="24"/>
              </w:rPr>
            </w:pPr>
            <w:r>
              <w:rPr>
                <w:rFonts w:hint="eastAsia" w:ascii="宋体" w:hAnsi="宋体"/>
                <w:bCs/>
                <w:color w:val="auto"/>
                <w:sz w:val="24"/>
              </w:rPr>
              <w:t>19</w:t>
            </w:r>
          </w:p>
        </w:tc>
        <w:tc>
          <w:tcPr>
            <w:tcW w:w="884" w:type="dxa"/>
            <w:vMerge w:val="continue"/>
          </w:tcPr>
          <w:p>
            <w:pPr>
              <w:spacing w:line="440" w:lineRule="atLeast"/>
              <w:rPr>
                <w:rFonts w:ascii="宋体" w:hAnsi="宋体"/>
                <w:bCs/>
                <w:color w:val="auto"/>
                <w:sz w:val="24"/>
              </w:rPr>
            </w:pPr>
          </w:p>
        </w:tc>
        <w:tc>
          <w:tcPr>
            <w:tcW w:w="1855" w:type="dxa"/>
          </w:tcPr>
          <w:p>
            <w:pPr>
              <w:spacing w:line="440" w:lineRule="atLeast"/>
              <w:ind w:firstLine="240" w:firstLineChars="100"/>
              <w:rPr>
                <w:rFonts w:ascii="宋体" w:hAnsi="宋体"/>
                <w:bCs/>
                <w:color w:val="auto"/>
                <w:sz w:val="24"/>
              </w:rPr>
            </w:pPr>
            <w:r>
              <w:rPr>
                <w:rFonts w:hint="eastAsia" w:ascii="宋体" w:hAnsi="宋体"/>
                <w:bCs/>
                <w:color w:val="auto"/>
                <w:sz w:val="24"/>
              </w:rPr>
              <w:t>轿厢地板</w:t>
            </w:r>
          </w:p>
        </w:tc>
        <w:tc>
          <w:tcPr>
            <w:tcW w:w="6290" w:type="dxa"/>
          </w:tcPr>
          <w:p>
            <w:pPr>
              <w:spacing w:line="440" w:lineRule="atLeast"/>
              <w:rPr>
                <w:rFonts w:ascii="宋体" w:hAnsi="宋体"/>
                <w:bCs/>
                <w:color w:val="auto"/>
                <w:sz w:val="24"/>
              </w:rPr>
            </w:pPr>
            <w:r>
              <w:rPr>
                <w:rFonts w:hint="eastAsia" w:ascii="宋体" w:hAnsi="宋体"/>
                <w:bCs/>
                <w:color w:val="auto"/>
                <w:sz w:val="24"/>
              </w:rPr>
              <w:t>PVC地板</w:t>
            </w:r>
            <w:r>
              <w:rPr>
                <w:rFonts w:hint="eastAsia" w:ascii="宋体" w:hAnsi="宋体"/>
                <w:color w:val="auto"/>
                <w:sz w:val="24"/>
              </w:rPr>
              <w:t>（片色）</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07" w:type="dxa"/>
            <w:vAlign w:val="center"/>
          </w:tcPr>
          <w:p>
            <w:pPr>
              <w:spacing w:line="440" w:lineRule="atLeast"/>
              <w:jc w:val="center"/>
              <w:rPr>
                <w:rFonts w:ascii="宋体" w:hAnsi="宋体"/>
                <w:bCs/>
                <w:color w:val="auto"/>
                <w:sz w:val="24"/>
              </w:rPr>
            </w:pPr>
            <w:r>
              <w:rPr>
                <w:rFonts w:hint="eastAsia" w:ascii="宋体" w:hAnsi="宋体"/>
                <w:bCs/>
                <w:color w:val="auto"/>
                <w:sz w:val="24"/>
              </w:rPr>
              <w:t>20</w:t>
            </w:r>
          </w:p>
        </w:tc>
        <w:tc>
          <w:tcPr>
            <w:tcW w:w="884" w:type="dxa"/>
            <w:vMerge w:val="continue"/>
          </w:tcPr>
          <w:p>
            <w:pPr>
              <w:spacing w:line="440" w:lineRule="atLeast"/>
              <w:ind w:left="180" w:firstLine="480"/>
              <w:rPr>
                <w:rFonts w:ascii="宋体" w:hAnsi="宋体"/>
                <w:bCs/>
                <w:color w:val="auto"/>
                <w:sz w:val="24"/>
              </w:rPr>
            </w:pPr>
          </w:p>
        </w:tc>
        <w:tc>
          <w:tcPr>
            <w:tcW w:w="1855" w:type="dxa"/>
          </w:tcPr>
          <w:p>
            <w:pPr>
              <w:spacing w:line="440" w:lineRule="atLeast"/>
              <w:ind w:firstLine="480" w:firstLineChars="200"/>
              <w:rPr>
                <w:rFonts w:ascii="宋体" w:hAnsi="宋体"/>
                <w:bCs/>
                <w:color w:val="auto"/>
                <w:sz w:val="24"/>
              </w:rPr>
            </w:pPr>
            <w:r>
              <w:rPr>
                <w:rFonts w:hint="eastAsia" w:ascii="宋体" w:hAnsi="宋体"/>
                <w:bCs/>
                <w:color w:val="auto"/>
                <w:sz w:val="24"/>
              </w:rPr>
              <w:t>地坎</w:t>
            </w:r>
          </w:p>
        </w:tc>
        <w:tc>
          <w:tcPr>
            <w:tcW w:w="6290" w:type="dxa"/>
          </w:tcPr>
          <w:p>
            <w:pPr>
              <w:spacing w:line="440" w:lineRule="atLeast"/>
              <w:rPr>
                <w:rFonts w:ascii="宋体" w:hAnsi="宋体"/>
                <w:bCs/>
                <w:color w:val="auto"/>
                <w:sz w:val="24"/>
              </w:rPr>
            </w:pPr>
            <w:r>
              <w:rPr>
                <w:rFonts w:hint="eastAsia" w:ascii="宋体" w:hAnsi="宋体"/>
                <w:bCs/>
                <w:color w:val="auto"/>
                <w:sz w:val="24"/>
              </w:rPr>
              <w:t>硬质铝合金</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07" w:type="dxa"/>
            <w:vAlign w:val="center"/>
          </w:tcPr>
          <w:p>
            <w:pPr>
              <w:spacing w:line="440" w:lineRule="atLeast"/>
              <w:jc w:val="center"/>
              <w:rPr>
                <w:rFonts w:ascii="宋体" w:hAnsi="宋体"/>
                <w:bCs/>
                <w:color w:val="auto"/>
                <w:sz w:val="24"/>
              </w:rPr>
            </w:pPr>
            <w:r>
              <w:rPr>
                <w:rFonts w:hint="eastAsia" w:ascii="宋体" w:hAnsi="宋体"/>
                <w:bCs/>
                <w:color w:val="auto"/>
                <w:sz w:val="24"/>
              </w:rPr>
              <w:t>21</w:t>
            </w:r>
          </w:p>
        </w:tc>
        <w:tc>
          <w:tcPr>
            <w:tcW w:w="884" w:type="dxa"/>
            <w:vMerge w:val="continue"/>
          </w:tcPr>
          <w:p>
            <w:pPr>
              <w:spacing w:line="440" w:lineRule="atLeast"/>
              <w:ind w:left="180" w:firstLine="480"/>
              <w:rPr>
                <w:rFonts w:ascii="宋体" w:hAnsi="宋体"/>
                <w:bCs/>
                <w:color w:val="auto"/>
                <w:sz w:val="24"/>
              </w:rPr>
            </w:pPr>
          </w:p>
        </w:tc>
        <w:tc>
          <w:tcPr>
            <w:tcW w:w="1855" w:type="dxa"/>
          </w:tcPr>
          <w:p>
            <w:pPr>
              <w:spacing w:line="440" w:lineRule="atLeast"/>
              <w:ind w:firstLine="120" w:firstLineChars="50"/>
              <w:rPr>
                <w:rFonts w:ascii="宋体" w:hAnsi="宋体"/>
                <w:bCs/>
                <w:color w:val="auto"/>
                <w:sz w:val="24"/>
              </w:rPr>
            </w:pPr>
            <w:r>
              <w:rPr>
                <w:rFonts w:hint="eastAsia" w:ascii="宋体" w:hAnsi="宋体"/>
                <w:bCs/>
                <w:color w:val="auto"/>
                <w:sz w:val="24"/>
              </w:rPr>
              <w:t xml:space="preserve">轿厢指示器  </w:t>
            </w:r>
          </w:p>
        </w:tc>
        <w:tc>
          <w:tcPr>
            <w:tcW w:w="6290" w:type="dxa"/>
          </w:tcPr>
          <w:p>
            <w:pPr>
              <w:spacing w:line="440" w:lineRule="atLeast"/>
              <w:rPr>
                <w:rFonts w:ascii="宋体" w:hAnsi="宋体"/>
                <w:bCs/>
                <w:color w:val="auto"/>
                <w:sz w:val="24"/>
              </w:rPr>
            </w:pPr>
            <w:r>
              <w:rPr>
                <w:rFonts w:hint="eastAsia" w:ascii="宋体" w:hAnsi="宋体"/>
                <w:bCs/>
                <w:color w:val="auto"/>
                <w:sz w:val="24"/>
              </w:rPr>
              <w:t>带白色段码液晶显示器和方向指示器</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07" w:type="dxa"/>
            <w:vAlign w:val="center"/>
          </w:tcPr>
          <w:p>
            <w:pPr>
              <w:spacing w:line="440" w:lineRule="atLeast"/>
              <w:jc w:val="center"/>
              <w:rPr>
                <w:rFonts w:ascii="宋体" w:hAnsi="宋体"/>
                <w:bCs/>
                <w:color w:val="auto"/>
                <w:sz w:val="24"/>
              </w:rPr>
            </w:pPr>
            <w:r>
              <w:rPr>
                <w:rFonts w:hint="eastAsia" w:ascii="宋体" w:hAnsi="宋体"/>
                <w:bCs/>
                <w:color w:val="auto"/>
                <w:sz w:val="24"/>
              </w:rPr>
              <w:t>22</w:t>
            </w:r>
          </w:p>
        </w:tc>
        <w:tc>
          <w:tcPr>
            <w:tcW w:w="884" w:type="dxa"/>
            <w:vMerge w:val="continue"/>
          </w:tcPr>
          <w:p>
            <w:pPr>
              <w:spacing w:line="440" w:lineRule="atLeast"/>
              <w:ind w:left="180" w:firstLine="480"/>
              <w:rPr>
                <w:rFonts w:ascii="宋体" w:hAnsi="宋体"/>
                <w:bCs/>
                <w:color w:val="auto"/>
                <w:sz w:val="24"/>
              </w:rPr>
            </w:pPr>
          </w:p>
        </w:tc>
        <w:tc>
          <w:tcPr>
            <w:tcW w:w="1855" w:type="dxa"/>
          </w:tcPr>
          <w:p>
            <w:pPr>
              <w:spacing w:line="440" w:lineRule="atLeast"/>
              <w:ind w:firstLine="480" w:firstLineChars="200"/>
              <w:rPr>
                <w:rFonts w:ascii="宋体" w:hAnsi="宋体"/>
                <w:bCs/>
                <w:color w:val="auto"/>
                <w:sz w:val="24"/>
              </w:rPr>
            </w:pPr>
            <w:r>
              <w:rPr>
                <w:rFonts w:hint="eastAsia" w:ascii="宋体" w:hAnsi="宋体"/>
                <w:bCs/>
                <w:color w:val="auto"/>
                <w:sz w:val="24"/>
              </w:rPr>
              <w:t xml:space="preserve">通风  </w:t>
            </w:r>
          </w:p>
        </w:tc>
        <w:tc>
          <w:tcPr>
            <w:tcW w:w="6290" w:type="dxa"/>
          </w:tcPr>
          <w:p>
            <w:pPr>
              <w:spacing w:line="440" w:lineRule="atLeast"/>
              <w:rPr>
                <w:rFonts w:ascii="宋体" w:hAnsi="宋体"/>
                <w:bCs/>
                <w:color w:val="auto"/>
                <w:sz w:val="24"/>
              </w:rPr>
            </w:pPr>
            <w:r>
              <w:rPr>
                <w:rFonts w:hint="eastAsia" w:ascii="宋体" w:hAnsi="宋体"/>
                <w:bCs/>
                <w:color w:val="auto"/>
                <w:sz w:val="24"/>
              </w:rPr>
              <w:t>横流扇</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07" w:type="dxa"/>
            <w:vAlign w:val="center"/>
          </w:tcPr>
          <w:p>
            <w:pPr>
              <w:spacing w:line="440" w:lineRule="atLeast"/>
              <w:jc w:val="center"/>
              <w:rPr>
                <w:rFonts w:ascii="宋体" w:hAnsi="宋体"/>
                <w:bCs/>
                <w:color w:val="auto"/>
                <w:sz w:val="24"/>
              </w:rPr>
            </w:pPr>
            <w:r>
              <w:rPr>
                <w:rFonts w:hint="eastAsia" w:ascii="宋体" w:hAnsi="宋体"/>
                <w:bCs/>
                <w:color w:val="auto"/>
                <w:sz w:val="24"/>
              </w:rPr>
              <w:t>23</w:t>
            </w:r>
          </w:p>
        </w:tc>
        <w:tc>
          <w:tcPr>
            <w:tcW w:w="884" w:type="dxa"/>
            <w:vMerge w:val="restart"/>
            <w:vAlign w:val="center"/>
          </w:tcPr>
          <w:p>
            <w:pPr>
              <w:spacing w:line="440" w:lineRule="atLeast"/>
              <w:jc w:val="center"/>
              <w:rPr>
                <w:rFonts w:ascii="宋体" w:hAnsi="宋体"/>
                <w:bCs/>
                <w:color w:val="auto"/>
                <w:sz w:val="24"/>
              </w:rPr>
            </w:pPr>
            <w:r>
              <w:rPr>
                <w:rFonts w:hint="eastAsia" w:ascii="宋体" w:hAnsi="宋体"/>
                <w:bCs/>
                <w:color w:val="auto"/>
                <w:sz w:val="24"/>
              </w:rPr>
              <w:t>土建尺寸</w:t>
            </w:r>
          </w:p>
        </w:tc>
        <w:tc>
          <w:tcPr>
            <w:tcW w:w="1855" w:type="dxa"/>
          </w:tcPr>
          <w:p>
            <w:pPr>
              <w:spacing w:line="440" w:lineRule="atLeast"/>
              <w:ind w:firstLine="240" w:firstLineChars="100"/>
              <w:rPr>
                <w:rFonts w:ascii="宋体" w:hAnsi="宋体"/>
                <w:bCs/>
                <w:color w:val="auto"/>
                <w:sz w:val="24"/>
              </w:rPr>
            </w:pPr>
            <w:r>
              <w:rPr>
                <w:rFonts w:hint="eastAsia" w:ascii="宋体" w:hAnsi="宋体"/>
                <w:bCs/>
                <w:color w:val="auto"/>
                <w:sz w:val="24"/>
              </w:rPr>
              <w:t>井道尺寸</w:t>
            </w:r>
          </w:p>
        </w:tc>
        <w:tc>
          <w:tcPr>
            <w:tcW w:w="6290" w:type="dxa"/>
          </w:tcPr>
          <w:p>
            <w:pPr>
              <w:spacing w:line="440" w:lineRule="atLeast"/>
              <w:rPr>
                <w:rFonts w:ascii="宋体" w:hAnsi="宋体"/>
                <w:bCs/>
                <w:color w:val="auto"/>
                <w:sz w:val="24"/>
              </w:rPr>
            </w:pPr>
            <w:r>
              <w:rPr>
                <w:rFonts w:hint="eastAsia" w:ascii="宋体" w:hAnsi="宋体"/>
                <w:bCs/>
                <w:color w:val="auto"/>
                <w:sz w:val="24"/>
              </w:rPr>
              <w:t>以实测为准</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07" w:type="dxa"/>
            <w:vAlign w:val="center"/>
          </w:tcPr>
          <w:p>
            <w:pPr>
              <w:spacing w:line="440" w:lineRule="atLeast"/>
              <w:jc w:val="center"/>
              <w:rPr>
                <w:rFonts w:ascii="宋体" w:hAnsi="宋体"/>
                <w:bCs/>
                <w:color w:val="auto"/>
                <w:sz w:val="24"/>
              </w:rPr>
            </w:pPr>
            <w:r>
              <w:rPr>
                <w:rFonts w:hint="eastAsia" w:ascii="宋体" w:hAnsi="宋体"/>
                <w:bCs/>
                <w:color w:val="auto"/>
                <w:sz w:val="24"/>
              </w:rPr>
              <w:t>24</w:t>
            </w:r>
          </w:p>
        </w:tc>
        <w:tc>
          <w:tcPr>
            <w:tcW w:w="884" w:type="dxa"/>
            <w:vMerge w:val="continue"/>
          </w:tcPr>
          <w:p>
            <w:pPr>
              <w:spacing w:line="440" w:lineRule="atLeast"/>
              <w:ind w:left="180" w:firstLine="480"/>
              <w:rPr>
                <w:rFonts w:ascii="宋体" w:hAnsi="宋体"/>
                <w:bCs/>
                <w:color w:val="auto"/>
                <w:sz w:val="24"/>
              </w:rPr>
            </w:pPr>
          </w:p>
        </w:tc>
        <w:tc>
          <w:tcPr>
            <w:tcW w:w="1855" w:type="dxa"/>
          </w:tcPr>
          <w:p>
            <w:pPr>
              <w:spacing w:line="440" w:lineRule="atLeast"/>
              <w:ind w:firstLine="240" w:firstLineChars="100"/>
              <w:rPr>
                <w:rFonts w:ascii="宋体" w:hAnsi="宋体"/>
                <w:bCs/>
                <w:color w:val="auto"/>
                <w:sz w:val="24"/>
              </w:rPr>
            </w:pPr>
            <w:r>
              <w:rPr>
                <w:rFonts w:hint="eastAsia" w:ascii="宋体" w:hAnsi="宋体"/>
                <w:bCs/>
                <w:color w:val="auto"/>
                <w:sz w:val="24"/>
              </w:rPr>
              <w:t>提升高度</w:t>
            </w:r>
          </w:p>
        </w:tc>
        <w:tc>
          <w:tcPr>
            <w:tcW w:w="6290" w:type="dxa"/>
          </w:tcPr>
          <w:p>
            <w:pPr>
              <w:spacing w:line="440" w:lineRule="atLeast"/>
              <w:rPr>
                <w:rFonts w:ascii="宋体" w:hAnsi="宋体"/>
                <w:bCs/>
                <w:color w:val="auto"/>
                <w:sz w:val="24"/>
              </w:rPr>
            </w:pPr>
            <w:r>
              <w:rPr>
                <w:rFonts w:hint="eastAsia" w:ascii="宋体" w:hAnsi="宋体"/>
                <w:bCs/>
                <w:color w:val="auto"/>
                <w:sz w:val="24"/>
              </w:rPr>
              <w:t>以实测为准</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07" w:type="dxa"/>
            <w:vAlign w:val="center"/>
          </w:tcPr>
          <w:p>
            <w:pPr>
              <w:spacing w:line="440" w:lineRule="atLeast"/>
              <w:jc w:val="center"/>
              <w:rPr>
                <w:rFonts w:ascii="宋体" w:hAnsi="宋体"/>
                <w:bCs/>
                <w:color w:val="auto"/>
                <w:sz w:val="24"/>
              </w:rPr>
            </w:pPr>
            <w:r>
              <w:rPr>
                <w:rFonts w:hint="eastAsia" w:ascii="宋体" w:hAnsi="宋体"/>
                <w:bCs/>
                <w:color w:val="auto"/>
                <w:sz w:val="24"/>
              </w:rPr>
              <w:t>25</w:t>
            </w:r>
          </w:p>
        </w:tc>
        <w:tc>
          <w:tcPr>
            <w:tcW w:w="884" w:type="dxa"/>
            <w:vMerge w:val="continue"/>
          </w:tcPr>
          <w:p>
            <w:pPr>
              <w:spacing w:line="440" w:lineRule="atLeast"/>
              <w:ind w:left="180" w:firstLine="480"/>
              <w:rPr>
                <w:rFonts w:ascii="宋体" w:hAnsi="宋体"/>
                <w:bCs/>
                <w:color w:val="auto"/>
                <w:sz w:val="24"/>
              </w:rPr>
            </w:pPr>
          </w:p>
        </w:tc>
        <w:tc>
          <w:tcPr>
            <w:tcW w:w="1855" w:type="dxa"/>
          </w:tcPr>
          <w:p>
            <w:pPr>
              <w:spacing w:line="440" w:lineRule="atLeast"/>
              <w:ind w:firstLine="240" w:firstLineChars="100"/>
              <w:rPr>
                <w:rFonts w:ascii="宋体" w:hAnsi="宋体"/>
                <w:bCs/>
                <w:color w:val="auto"/>
                <w:sz w:val="24"/>
              </w:rPr>
            </w:pPr>
            <w:r>
              <w:rPr>
                <w:rFonts w:hint="eastAsia" w:ascii="宋体" w:hAnsi="宋体"/>
                <w:bCs/>
                <w:color w:val="auto"/>
                <w:sz w:val="24"/>
              </w:rPr>
              <w:t>地坑深度</w:t>
            </w:r>
          </w:p>
        </w:tc>
        <w:tc>
          <w:tcPr>
            <w:tcW w:w="6290" w:type="dxa"/>
          </w:tcPr>
          <w:p>
            <w:pPr>
              <w:spacing w:line="440" w:lineRule="atLeast"/>
              <w:rPr>
                <w:rFonts w:ascii="宋体" w:hAnsi="宋体"/>
                <w:bCs/>
                <w:color w:val="auto"/>
                <w:sz w:val="24"/>
              </w:rPr>
            </w:pPr>
            <w:r>
              <w:rPr>
                <w:rFonts w:hint="eastAsia" w:ascii="宋体" w:hAnsi="宋体"/>
                <w:bCs/>
                <w:color w:val="auto"/>
                <w:sz w:val="24"/>
              </w:rPr>
              <w:t>≥1740mm</w:t>
            </w:r>
            <w:r>
              <w:rPr>
                <w:rFonts w:hint="eastAsia" w:ascii="宋体" w:hAnsi="宋体"/>
                <w:bCs/>
                <w:color w:val="auto"/>
                <w:szCs w:val="21"/>
              </w:rPr>
              <w:t xml:space="preserve"> </w:t>
            </w:r>
            <w:r>
              <w:rPr>
                <w:rFonts w:hint="eastAsia" w:ascii="宋体" w:hAnsi="宋体"/>
                <w:color w:val="auto"/>
                <w:sz w:val="18"/>
                <w:szCs w:val="18"/>
              </w:rPr>
              <w:t>（</w:t>
            </w:r>
            <w:r>
              <w:rPr>
                <w:rFonts w:hint="eastAsia" w:asciiTheme="minorEastAsia" w:hAnsiTheme="minorEastAsia"/>
                <w:bCs/>
                <w:color w:val="auto"/>
                <w:sz w:val="18"/>
                <w:szCs w:val="18"/>
              </w:rPr>
              <w:t>最终以双方确认方案图为准</w:t>
            </w:r>
            <w:r>
              <w:rPr>
                <w:rFonts w:hint="eastAsia" w:ascii="宋体" w:hAnsi="宋体"/>
                <w:color w:val="auto"/>
                <w:sz w:val="18"/>
                <w:szCs w:val="18"/>
              </w:rPr>
              <w:t>）</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07" w:type="dxa"/>
            <w:vAlign w:val="center"/>
          </w:tcPr>
          <w:p>
            <w:pPr>
              <w:spacing w:line="440" w:lineRule="atLeast"/>
              <w:jc w:val="center"/>
              <w:rPr>
                <w:rFonts w:ascii="宋体" w:hAnsi="宋体"/>
                <w:bCs/>
                <w:color w:val="auto"/>
                <w:sz w:val="24"/>
              </w:rPr>
            </w:pPr>
            <w:r>
              <w:rPr>
                <w:rFonts w:hint="eastAsia" w:ascii="宋体" w:hAnsi="宋体"/>
                <w:bCs/>
                <w:color w:val="auto"/>
                <w:sz w:val="24"/>
              </w:rPr>
              <w:t>26</w:t>
            </w:r>
          </w:p>
        </w:tc>
        <w:tc>
          <w:tcPr>
            <w:tcW w:w="884" w:type="dxa"/>
            <w:vMerge w:val="continue"/>
          </w:tcPr>
          <w:p>
            <w:pPr>
              <w:spacing w:line="440" w:lineRule="atLeast"/>
              <w:ind w:left="180" w:firstLine="480"/>
              <w:rPr>
                <w:rFonts w:ascii="宋体" w:hAnsi="宋体"/>
                <w:bCs/>
                <w:color w:val="auto"/>
                <w:sz w:val="24"/>
              </w:rPr>
            </w:pPr>
          </w:p>
        </w:tc>
        <w:tc>
          <w:tcPr>
            <w:tcW w:w="1855" w:type="dxa"/>
          </w:tcPr>
          <w:p>
            <w:pPr>
              <w:spacing w:line="440" w:lineRule="atLeast"/>
              <w:rPr>
                <w:rFonts w:ascii="宋体" w:hAnsi="宋体"/>
                <w:bCs/>
                <w:color w:val="auto"/>
                <w:sz w:val="24"/>
              </w:rPr>
            </w:pPr>
            <w:r>
              <w:rPr>
                <w:rFonts w:hint="eastAsia" w:ascii="宋体" w:hAnsi="宋体"/>
                <w:bCs/>
                <w:color w:val="auto"/>
                <w:sz w:val="24"/>
              </w:rPr>
              <w:t xml:space="preserve">  顶层高度</w:t>
            </w:r>
          </w:p>
        </w:tc>
        <w:tc>
          <w:tcPr>
            <w:tcW w:w="6290" w:type="dxa"/>
          </w:tcPr>
          <w:p>
            <w:pPr>
              <w:spacing w:line="440" w:lineRule="atLeast"/>
              <w:rPr>
                <w:rFonts w:ascii="宋体" w:hAnsi="宋体"/>
                <w:bCs/>
                <w:color w:val="auto"/>
                <w:sz w:val="24"/>
              </w:rPr>
            </w:pPr>
            <w:r>
              <w:rPr>
                <w:rFonts w:hint="eastAsia" w:ascii="宋体" w:hAnsi="宋体"/>
                <w:bCs/>
                <w:color w:val="auto"/>
                <w:sz w:val="24"/>
              </w:rPr>
              <w:t>≥4150mm</w:t>
            </w:r>
            <w:r>
              <w:rPr>
                <w:rFonts w:hint="eastAsia" w:ascii="宋体" w:hAnsi="宋体"/>
                <w:bCs/>
                <w:color w:val="auto"/>
                <w:szCs w:val="21"/>
              </w:rPr>
              <w:t xml:space="preserve"> </w:t>
            </w:r>
            <w:r>
              <w:rPr>
                <w:rFonts w:hint="eastAsia" w:ascii="宋体" w:hAnsi="宋体"/>
                <w:color w:val="auto"/>
                <w:sz w:val="18"/>
                <w:szCs w:val="18"/>
              </w:rPr>
              <w:t>（</w:t>
            </w:r>
            <w:r>
              <w:rPr>
                <w:rFonts w:hint="eastAsia" w:asciiTheme="minorEastAsia" w:hAnsiTheme="minorEastAsia"/>
                <w:bCs/>
                <w:color w:val="auto"/>
                <w:sz w:val="18"/>
                <w:szCs w:val="18"/>
              </w:rPr>
              <w:t>最终以双方确认方案图为准</w:t>
            </w:r>
            <w:r>
              <w:rPr>
                <w:rFonts w:hint="eastAsia" w:ascii="宋体" w:hAnsi="宋体"/>
                <w:color w:val="auto"/>
                <w:sz w:val="18"/>
                <w:szCs w:val="18"/>
              </w:rPr>
              <w:t>）</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707" w:type="dxa"/>
            <w:vMerge w:val="restart"/>
            <w:vAlign w:val="center"/>
          </w:tcPr>
          <w:p>
            <w:pPr>
              <w:spacing w:line="360" w:lineRule="atLeast"/>
              <w:jc w:val="center"/>
              <w:rPr>
                <w:rFonts w:ascii="宋体" w:hAnsi="宋体"/>
                <w:bCs/>
                <w:color w:val="auto"/>
                <w:szCs w:val="21"/>
              </w:rPr>
            </w:pPr>
            <w:r>
              <w:rPr>
                <w:rFonts w:hint="eastAsia" w:ascii="宋体" w:hAnsi="宋体"/>
                <w:bCs/>
                <w:color w:val="auto"/>
                <w:szCs w:val="21"/>
              </w:rPr>
              <w:t>其它选配</w:t>
            </w:r>
          </w:p>
        </w:tc>
        <w:tc>
          <w:tcPr>
            <w:tcW w:w="9029" w:type="dxa"/>
            <w:gridSpan w:val="3"/>
          </w:tcPr>
          <w:p>
            <w:pPr>
              <w:spacing w:line="440" w:lineRule="atLeast"/>
              <w:rPr>
                <w:rFonts w:asciiTheme="minorEastAsia" w:hAnsiTheme="minorEastAsia"/>
                <w:bCs/>
                <w:color w:val="auto"/>
                <w:sz w:val="18"/>
                <w:szCs w:val="18"/>
              </w:rPr>
            </w:pPr>
            <w:r>
              <w:rPr>
                <w:rFonts w:hint="eastAsia" w:asciiTheme="minorEastAsia" w:hAnsiTheme="minorEastAsia"/>
                <w:bCs/>
                <w:color w:val="auto"/>
                <w:sz w:val="18"/>
                <w:szCs w:val="18"/>
              </w:rPr>
              <w:t>圆形扶手一根</w:t>
            </w:r>
          </w:p>
          <w:p>
            <w:pPr>
              <w:spacing w:line="440" w:lineRule="atLeast"/>
              <w:rPr>
                <w:rFonts w:asciiTheme="minorEastAsia" w:hAnsiTheme="minorEastAsia"/>
                <w:bCs/>
                <w:color w:val="auto"/>
                <w:sz w:val="18"/>
                <w:szCs w:val="18"/>
              </w:rPr>
            </w:pPr>
          </w:p>
          <w:p>
            <w:pPr>
              <w:spacing w:line="380" w:lineRule="exact"/>
              <w:rPr>
                <w:rFonts w:ascii="宋体" w:hAnsi="宋体"/>
                <w:bCs/>
                <w:color w:val="auto"/>
                <w:szCs w:val="21"/>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707" w:type="dxa"/>
            <w:vMerge w:val="continue"/>
            <w:vAlign w:val="center"/>
          </w:tcPr>
          <w:p>
            <w:pPr>
              <w:spacing w:line="440" w:lineRule="atLeast"/>
              <w:rPr>
                <w:rFonts w:ascii="宋体" w:hAnsi="宋体"/>
                <w:bCs/>
                <w:color w:val="auto"/>
                <w:sz w:val="24"/>
              </w:rPr>
            </w:pPr>
          </w:p>
        </w:tc>
        <w:tc>
          <w:tcPr>
            <w:tcW w:w="9029" w:type="dxa"/>
            <w:gridSpan w:val="3"/>
          </w:tcPr>
          <w:p>
            <w:pPr>
              <w:spacing w:line="440" w:lineRule="atLeast"/>
              <w:rPr>
                <w:rFonts w:ascii="宋体" w:hAnsi="宋体"/>
                <w:bCs/>
                <w:color w:val="auto"/>
                <w:szCs w:val="21"/>
              </w:rPr>
            </w:pPr>
          </w:p>
        </w:tc>
      </w:tr>
    </w:tbl>
    <w:p>
      <w:pPr>
        <w:pStyle w:val="9"/>
        <w:tabs>
          <w:tab w:val="left" w:pos="3652"/>
        </w:tabs>
        <w:spacing w:before="0" w:after="0"/>
        <w:ind w:firstLine="120" w:firstLineChars="50"/>
        <w:jc w:val="both"/>
        <w:rPr>
          <w:rFonts w:ascii="宋体" w:hAnsi="宋体"/>
          <w:b w:val="0"/>
          <w:bCs w:val="0"/>
          <w:color w:val="auto"/>
          <w:sz w:val="24"/>
          <w:szCs w:val="24"/>
        </w:rPr>
      </w:pPr>
      <w:bookmarkStart w:id="3" w:name="_Toc503270347"/>
      <w:bookmarkStart w:id="4" w:name="_Toc19774"/>
      <w:bookmarkStart w:id="5" w:name="_Toc21770_WPSOffice_Level1"/>
    </w:p>
    <w:p>
      <w:pPr>
        <w:pStyle w:val="9"/>
        <w:tabs>
          <w:tab w:val="left" w:pos="3652"/>
        </w:tabs>
        <w:spacing w:before="0" w:after="0"/>
        <w:ind w:firstLine="120" w:firstLineChars="50"/>
        <w:jc w:val="both"/>
        <w:rPr>
          <w:rFonts w:ascii="宋体" w:hAnsi="宋体"/>
          <w:b w:val="0"/>
          <w:bCs w:val="0"/>
          <w:color w:val="auto"/>
          <w:sz w:val="24"/>
          <w:szCs w:val="24"/>
        </w:rPr>
      </w:pPr>
    </w:p>
    <w:p>
      <w:pPr>
        <w:pStyle w:val="9"/>
        <w:tabs>
          <w:tab w:val="left" w:pos="3652"/>
        </w:tabs>
        <w:spacing w:before="0" w:after="0"/>
        <w:ind w:firstLine="120" w:firstLineChars="50"/>
        <w:jc w:val="both"/>
        <w:rPr>
          <w:rFonts w:ascii="宋体" w:hAnsi="宋体"/>
          <w:b w:val="0"/>
          <w:bCs w:val="0"/>
          <w:color w:val="auto"/>
          <w:sz w:val="24"/>
          <w:szCs w:val="24"/>
        </w:rPr>
      </w:pPr>
    </w:p>
    <w:p>
      <w:pPr>
        <w:pStyle w:val="9"/>
        <w:tabs>
          <w:tab w:val="left" w:pos="3652"/>
        </w:tabs>
        <w:spacing w:before="0" w:after="0"/>
        <w:ind w:firstLine="120" w:firstLineChars="50"/>
        <w:jc w:val="both"/>
        <w:rPr>
          <w:rFonts w:ascii="宋体" w:hAnsi="宋体"/>
          <w:b w:val="0"/>
          <w:bCs w:val="0"/>
          <w:color w:val="auto"/>
          <w:sz w:val="24"/>
          <w:szCs w:val="24"/>
        </w:rPr>
      </w:pPr>
      <w:r>
        <w:rPr>
          <w:rFonts w:hint="eastAsia" w:ascii="宋体" w:hAnsi="宋体"/>
          <w:b w:val="0"/>
          <w:bCs w:val="0"/>
          <w:color w:val="auto"/>
          <w:sz w:val="24"/>
          <w:szCs w:val="24"/>
        </w:rPr>
        <w:t>二、电梯配置</w:t>
      </w:r>
      <w:bookmarkEnd w:id="3"/>
      <w:r>
        <w:rPr>
          <w:rFonts w:hint="eastAsia" w:ascii="宋体" w:hAnsi="宋体"/>
          <w:b w:val="0"/>
          <w:bCs w:val="0"/>
          <w:color w:val="auto"/>
          <w:sz w:val="24"/>
          <w:szCs w:val="24"/>
        </w:rPr>
        <w:t>表</w:t>
      </w:r>
      <w:bookmarkEnd w:id="4"/>
      <w:bookmarkEnd w:id="5"/>
    </w:p>
    <w:tbl>
      <w:tblPr>
        <w:tblStyle w:val="10"/>
        <w:tblW w:w="9120" w:type="dxa"/>
        <w:jc w:val="center"/>
        <w:tblLayout w:type="fixed"/>
        <w:tblCellMar>
          <w:top w:w="0" w:type="dxa"/>
          <w:left w:w="108" w:type="dxa"/>
          <w:bottom w:w="0" w:type="dxa"/>
          <w:right w:w="108" w:type="dxa"/>
        </w:tblCellMar>
      </w:tblPr>
      <w:tblGrid>
        <w:gridCol w:w="912"/>
        <w:gridCol w:w="3116"/>
        <w:gridCol w:w="3748"/>
        <w:gridCol w:w="1344"/>
      </w:tblGrid>
      <w:tr>
        <w:tblPrEx>
          <w:tblCellMar>
            <w:top w:w="0" w:type="dxa"/>
            <w:left w:w="108" w:type="dxa"/>
            <w:bottom w:w="0" w:type="dxa"/>
            <w:right w:w="108" w:type="dxa"/>
          </w:tblCellMar>
        </w:tblPrEx>
        <w:trPr>
          <w:trHeight w:val="368" w:hRule="atLeast"/>
          <w:jc w:val="center"/>
        </w:trPr>
        <w:tc>
          <w:tcPr>
            <w:tcW w:w="912" w:type="dxa"/>
            <w:tcBorders>
              <w:top w:val="thinThickSmallGap" w:color="auto" w:sz="24" w:space="0"/>
              <w:left w:val="thinThickSmallGap" w:color="auto" w:sz="24" w:space="0"/>
              <w:bottom w:val="single" w:color="auto" w:sz="4" w:space="0"/>
              <w:right w:val="single" w:color="auto" w:sz="4" w:space="0"/>
            </w:tcBorders>
            <w:shd w:val="pct10" w:color="auto" w:fill="auto"/>
            <w:vAlign w:val="center"/>
          </w:tcPr>
          <w:p>
            <w:pPr>
              <w:widowControl/>
              <w:jc w:val="center"/>
              <w:rPr>
                <w:rFonts w:ascii="宋体" w:hAnsi="宋体" w:cs="宋体"/>
                <w:b/>
                <w:bCs/>
                <w:color w:val="auto"/>
                <w:szCs w:val="21"/>
              </w:rPr>
            </w:pPr>
            <w:r>
              <w:rPr>
                <w:rFonts w:hint="eastAsia" w:ascii="宋体" w:hAnsi="宋体" w:cs="宋体"/>
                <w:b/>
                <w:bCs/>
                <w:color w:val="auto"/>
                <w:szCs w:val="21"/>
              </w:rPr>
              <w:t>序号</w:t>
            </w:r>
          </w:p>
        </w:tc>
        <w:tc>
          <w:tcPr>
            <w:tcW w:w="3116" w:type="dxa"/>
            <w:tcBorders>
              <w:top w:val="thinThickSmallGap" w:color="auto" w:sz="24" w:space="0"/>
              <w:left w:val="nil"/>
              <w:bottom w:val="single" w:color="auto" w:sz="4" w:space="0"/>
              <w:right w:val="single" w:color="auto" w:sz="4" w:space="0"/>
            </w:tcBorders>
            <w:shd w:val="pct10" w:color="auto" w:fill="auto"/>
            <w:vAlign w:val="center"/>
          </w:tcPr>
          <w:p>
            <w:pPr>
              <w:widowControl/>
              <w:jc w:val="center"/>
              <w:rPr>
                <w:rFonts w:ascii="宋体" w:hAnsi="宋体" w:cs="宋体"/>
                <w:b/>
                <w:bCs/>
                <w:color w:val="auto"/>
                <w:szCs w:val="21"/>
              </w:rPr>
            </w:pPr>
            <w:r>
              <w:rPr>
                <w:rFonts w:hint="eastAsia" w:ascii="宋体" w:hAnsi="宋体" w:cs="宋体"/>
                <w:b/>
                <w:bCs/>
                <w:color w:val="auto"/>
                <w:szCs w:val="21"/>
              </w:rPr>
              <w:t>部件名称</w:t>
            </w:r>
          </w:p>
        </w:tc>
        <w:tc>
          <w:tcPr>
            <w:tcW w:w="3748" w:type="dxa"/>
            <w:tcBorders>
              <w:top w:val="thinThickSmallGap" w:color="auto" w:sz="24" w:space="0"/>
              <w:left w:val="nil"/>
              <w:bottom w:val="single" w:color="auto" w:sz="4" w:space="0"/>
              <w:right w:val="single" w:color="auto" w:sz="4" w:space="0"/>
            </w:tcBorders>
            <w:shd w:val="pct10" w:color="auto" w:fill="auto"/>
            <w:vAlign w:val="center"/>
          </w:tcPr>
          <w:p>
            <w:pPr>
              <w:widowControl/>
              <w:jc w:val="center"/>
              <w:rPr>
                <w:rFonts w:ascii="宋体" w:hAnsi="宋体" w:cs="宋体"/>
                <w:b/>
                <w:bCs/>
                <w:color w:val="auto"/>
                <w:szCs w:val="21"/>
              </w:rPr>
            </w:pPr>
            <w:r>
              <w:rPr>
                <w:rFonts w:hint="eastAsia" w:ascii="宋体" w:hAnsi="宋体" w:cs="宋体"/>
                <w:b/>
                <w:bCs/>
                <w:color w:val="auto"/>
                <w:szCs w:val="21"/>
              </w:rPr>
              <w:t>制造商或品牌</w:t>
            </w:r>
          </w:p>
        </w:tc>
        <w:tc>
          <w:tcPr>
            <w:tcW w:w="1344" w:type="dxa"/>
            <w:tcBorders>
              <w:top w:val="thinThickSmallGap" w:color="auto" w:sz="24" w:space="0"/>
              <w:left w:val="nil"/>
              <w:bottom w:val="single" w:color="auto" w:sz="4" w:space="0"/>
              <w:right w:val="thickThinSmallGap" w:color="auto" w:sz="24" w:space="0"/>
            </w:tcBorders>
            <w:shd w:val="pct10" w:color="auto" w:fill="auto"/>
            <w:vAlign w:val="center"/>
          </w:tcPr>
          <w:p>
            <w:pPr>
              <w:widowControl/>
              <w:jc w:val="center"/>
              <w:rPr>
                <w:rFonts w:ascii="宋体" w:hAnsi="宋体" w:cs="宋体"/>
                <w:b/>
                <w:bCs/>
                <w:color w:val="auto"/>
                <w:szCs w:val="21"/>
              </w:rPr>
            </w:pPr>
            <w:r>
              <w:rPr>
                <w:rFonts w:hint="eastAsia" w:ascii="宋体" w:hAnsi="宋体" w:cs="宋体"/>
                <w:b/>
                <w:bCs/>
                <w:color w:val="auto"/>
                <w:szCs w:val="21"/>
              </w:rPr>
              <w:t>备注</w:t>
            </w:r>
          </w:p>
        </w:tc>
      </w:tr>
      <w:tr>
        <w:tblPrEx>
          <w:tblCellMar>
            <w:top w:w="0" w:type="dxa"/>
            <w:left w:w="108" w:type="dxa"/>
            <w:bottom w:w="0" w:type="dxa"/>
            <w:right w:w="108" w:type="dxa"/>
          </w:tblCellMar>
        </w:tblPrEx>
        <w:trPr>
          <w:trHeight w:val="327" w:hRule="atLeast"/>
          <w:jc w:val="center"/>
        </w:trPr>
        <w:tc>
          <w:tcPr>
            <w:tcW w:w="9120" w:type="dxa"/>
            <w:gridSpan w:val="4"/>
            <w:tcBorders>
              <w:top w:val="single" w:color="auto" w:sz="4" w:space="0"/>
              <w:left w:val="thinThickSmallGap" w:color="auto" w:sz="24" w:space="0"/>
              <w:bottom w:val="single" w:color="auto" w:sz="4" w:space="0"/>
              <w:right w:val="thickThinSmallGap" w:color="auto" w:sz="24" w:space="0"/>
            </w:tcBorders>
            <w:vAlign w:val="center"/>
          </w:tcPr>
          <w:p>
            <w:pPr>
              <w:widowControl/>
              <w:jc w:val="left"/>
              <w:rPr>
                <w:rFonts w:ascii="宋体" w:hAnsi="宋体" w:cs="宋体"/>
                <w:b/>
                <w:bCs/>
                <w:color w:val="auto"/>
                <w:szCs w:val="21"/>
              </w:rPr>
            </w:pPr>
            <w:r>
              <w:rPr>
                <w:rFonts w:hint="eastAsia" w:ascii="宋体" w:hAnsi="宋体" w:cs="宋体"/>
                <w:b/>
                <w:bCs/>
                <w:color w:val="auto"/>
                <w:szCs w:val="21"/>
              </w:rPr>
              <w:t>驱动部分</w:t>
            </w:r>
          </w:p>
        </w:tc>
      </w:tr>
      <w:tr>
        <w:tblPrEx>
          <w:tblCellMar>
            <w:top w:w="0" w:type="dxa"/>
            <w:left w:w="108" w:type="dxa"/>
            <w:bottom w:w="0" w:type="dxa"/>
            <w:right w:w="108" w:type="dxa"/>
          </w:tblCellMar>
        </w:tblPrEx>
        <w:trPr>
          <w:trHeight w:val="327" w:hRule="atLeast"/>
          <w:jc w:val="center"/>
        </w:trPr>
        <w:tc>
          <w:tcPr>
            <w:tcW w:w="912" w:type="dxa"/>
            <w:tcBorders>
              <w:top w:val="nil"/>
              <w:left w:val="thinThickSmallGap" w:color="auto" w:sz="2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1</w:t>
            </w:r>
          </w:p>
        </w:tc>
        <w:tc>
          <w:tcPr>
            <w:tcW w:w="3116" w:type="dxa"/>
            <w:tcBorders>
              <w:top w:val="nil"/>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永磁同步主机</w:t>
            </w:r>
          </w:p>
        </w:tc>
        <w:tc>
          <w:tcPr>
            <w:tcW w:w="3748" w:type="dxa"/>
            <w:tcBorders>
              <w:top w:val="nil"/>
              <w:left w:val="nil"/>
              <w:bottom w:val="single" w:color="auto" w:sz="4" w:space="0"/>
              <w:right w:val="single" w:color="auto" w:sz="4" w:space="0"/>
            </w:tcBorders>
            <w:vAlign w:val="center"/>
          </w:tcPr>
          <w:p>
            <w:pPr>
              <w:widowControl/>
              <w:jc w:val="center"/>
              <w:rPr>
                <w:rFonts w:ascii="宋体" w:hAnsi="宋体" w:cs="宋体"/>
                <w:color w:val="auto"/>
                <w:szCs w:val="21"/>
              </w:rPr>
            </w:pPr>
          </w:p>
        </w:tc>
        <w:tc>
          <w:tcPr>
            <w:tcW w:w="1344" w:type="dxa"/>
            <w:tcBorders>
              <w:top w:val="nil"/>
              <w:left w:val="nil"/>
              <w:bottom w:val="single" w:color="auto" w:sz="4" w:space="0"/>
              <w:right w:val="thickThinSmallGap" w:color="auto" w:sz="24" w:space="0"/>
            </w:tcBorders>
            <w:vAlign w:val="center"/>
          </w:tcPr>
          <w:p>
            <w:pPr>
              <w:widowControl/>
              <w:jc w:val="center"/>
              <w:rPr>
                <w:rFonts w:ascii="宋体" w:hAnsi="宋体" w:cs="宋体"/>
                <w:color w:val="auto"/>
                <w:szCs w:val="21"/>
              </w:rPr>
            </w:pPr>
          </w:p>
        </w:tc>
      </w:tr>
      <w:tr>
        <w:tblPrEx>
          <w:tblCellMar>
            <w:top w:w="0" w:type="dxa"/>
            <w:left w:w="108" w:type="dxa"/>
            <w:bottom w:w="0" w:type="dxa"/>
            <w:right w:w="108" w:type="dxa"/>
          </w:tblCellMar>
        </w:tblPrEx>
        <w:trPr>
          <w:trHeight w:val="327" w:hRule="atLeast"/>
          <w:jc w:val="center"/>
        </w:trPr>
        <w:tc>
          <w:tcPr>
            <w:tcW w:w="912" w:type="dxa"/>
            <w:tcBorders>
              <w:top w:val="nil"/>
              <w:left w:val="thinThickSmallGap" w:color="auto" w:sz="2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2</w:t>
            </w:r>
          </w:p>
        </w:tc>
        <w:tc>
          <w:tcPr>
            <w:tcW w:w="3116" w:type="dxa"/>
            <w:tcBorders>
              <w:top w:val="nil"/>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编码器</w:t>
            </w:r>
          </w:p>
        </w:tc>
        <w:tc>
          <w:tcPr>
            <w:tcW w:w="3748" w:type="dxa"/>
            <w:tcBorders>
              <w:top w:val="nil"/>
              <w:left w:val="nil"/>
              <w:bottom w:val="single" w:color="auto" w:sz="4" w:space="0"/>
              <w:right w:val="single" w:color="auto" w:sz="4" w:space="0"/>
            </w:tcBorders>
            <w:vAlign w:val="center"/>
          </w:tcPr>
          <w:p>
            <w:pPr>
              <w:widowControl/>
              <w:jc w:val="center"/>
              <w:rPr>
                <w:rFonts w:ascii="宋体" w:hAnsi="宋体" w:cs="宋体"/>
                <w:color w:val="auto"/>
                <w:szCs w:val="21"/>
              </w:rPr>
            </w:pPr>
          </w:p>
        </w:tc>
        <w:tc>
          <w:tcPr>
            <w:tcW w:w="1344" w:type="dxa"/>
            <w:tcBorders>
              <w:top w:val="nil"/>
              <w:left w:val="nil"/>
              <w:bottom w:val="single" w:color="auto" w:sz="4" w:space="0"/>
              <w:right w:val="thickThinSmallGap" w:color="auto" w:sz="24" w:space="0"/>
            </w:tcBorders>
            <w:vAlign w:val="center"/>
          </w:tcPr>
          <w:p>
            <w:pPr>
              <w:widowControl/>
              <w:jc w:val="center"/>
              <w:rPr>
                <w:rFonts w:ascii="宋体" w:hAnsi="宋体" w:cs="宋体"/>
                <w:color w:val="auto"/>
                <w:szCs w:val="21"/>
              </w:rPr>
            </w:pPr>
          </w:p>
        </w:tc>
      </w:tr>
      <w:tr>
        <w:tblPrEx>
          <w:tblCellMar>
            <w:top w:w="0" w:type="dxa"/>
            <w:left w:w="108" w:type="dxa"/>
            <w:bottom w:w="0" w:type="dxa"/>
            <w:right w:w="108" w:type="dxa"/>
          </w:tblCellMar>
        </w:tblPrEx>
        <w:trPr>
          <w:trHeight w:val="327" w:hRule="atLeast"/>
          <w:jc w:val="center"/>
        </w:trPr>
        <w:tc>
          <w:tcPr>
            <w:tcW w:w="912" w:type="dxa"/>
            <w:tcBorders>
              <w:top w:val="nil"/>
              <w:left w:val="thinThickSmallGap" w:color="auto" w:sz="2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3</w:t>
            </w:r>
          </w:p>
        </w:tc>
        <w:tc>
          <w:tcPr>
            <w:tcW w:w="3116" w:type="dxa"/>
            <w:tcBorders>
              <w:top w:val="nil"/>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制动器</w:t>
            </w:r>
          </w:p>
        </w:tc>
        <w:tc>
          <w:tcPr>
            <w:tcW w:w="3748" w:type="dxa"/>
            <w:tcBorders>
              <w:top w:val="nil"/>
              <w:left w:val="nil"/>
              <w:bottom w:val="single" w:color="auto" w:sz="4" w:space="0"/>
              <w:right w:val="single" w:color="auto" w:sz="4" w:space="0"/>
            </w:tcBorders>
            <w:vAlign w:val="center"/>
          </w:tcPr>
          <w:p>
            <w:pPr>
              <w:widowControl/>
              <w:jc w:val="center"/>
              <w:rPr>
                <w:rFonts w:ascii="宋体" w:hAnsi="宋体" w:cs="宋体"/>
                <w:color w:val="auto"/>
                <w:szCs w:val="21"/>
              </w:rPr>
            </w:pPr>
          </w:p>
        </w:tc>
        <w:tc>
          <w:tcPr>
            <w:tcW w:w="1344" w:type="dxa"/>
            <w:tcBorders>
              <w:top w:val="nil"/>
              <w:left w:val="nil"/>
              <w:bottom w:val="single" w:color="auto" w:sz="4" w:space="0"/>
              <w:right w:val="thickThinSmallGap" w:color="auto" w:sz="24" w:space="0"/>
            </w:tcBorders>
            <w:vAlign w:val="center"/>
          </w:tcPr>
          <w:p>
            <w:pPr>
              <w:widowControl/>
              <w:jc w:val="center"/>
              <w:rPr>
                <w:rFonts w:ascii="宋体" w:hAnsi="宋体" w:cs="宋体"/>
                <w:color w:val="auto"/>
                <w:szCs w:val="21"/>
              </w:rPr>
            </w:pPr>
          </w:p>
        </w:tc>
      </w:tr>
      <w:tr>
        <w:tblPrEx>
          <w:tblCellMar>
            <w:top w:w="0" w:type="dxa"/>
            <w:left w:w="108" w:type="dxa"/>
            <w:bottom w:w="0" w:type="dxa"/>
            <w:right w:w="108" w:type="dxa"/>
          </w:tblCellMar>
        </w:tblPrEx>
        <w:trPr>
          <w:trHeight w:val="327" w:hRule="atLeast"/>
          <w:jc w:val="center"/>
        </w:trPr>
        <w:tc>
          <w:tcPr>
            <w:tcW w:w="912" w:type="dxa"/>
            <w:tcBorders>
              <w:top w:val="nil"/>
              <w:left w:val="thinThickSmallGap" w:color="auto" w:sz="2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4</w:t>
            </w:r>
          </w:p>
        </w:tc>
        <w:tc>
          <w:tcPr>
            <w:tcW w:w="3116" w:type="dxa"/>
            <w:tcBorders>
              <w:top w:val="nil"/>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变频器</w:t>
            </w:r>
          </w:p>
        </w:tc>
        <w:tc>
          <w:tcPr>
            <w:tcW w:w="3748" w:type="dxa"/>
            <w:tcBorders>
              <w:top w:val="nil"/>
              <w:left w:val="nil"/>
              <w:bottom w:val="single" w:color="auto" w:sz="4" w:space="0"/>
              <w:right w:val="single" w:color="auto" w:sz="4" w:space="0"/>
            </w:tcBorders>
            <w:vAlign w:val="center"/>
          </w:tcPr>
          <w:p>
            <w:pPr>
              <w:widowControl/>
              <w:jc w:val="center"/>
              <w:rPr>
                <w:rFonts w:ascii="宋体" w:hAnsi="宋体" w:cs="宋体"/>
                <w:color w:val="auto"/>
                <w:szCs w:val="21"/>
              </w:rPr>
            </w:pPr>
          </w:p>
        </w:tc>
        <w:tc>
          <w:tcPr>
            <w:tcW w:w="1344" w:type="dxa"/>
            <w:tcBorders>
              <w:top w:val="nil"/>
              <w:left w:val="nil"/>
              <w:bottom w:val="single" w:color="auto" w:sz="4" w:space="0"/>
              <w:right w:val="thickThinSmallGap" w:color="auto" w:sz="24" w:space="0"/>
            </w:tcBorders>
            <w:vAlign w:val="center"/>
          </w:tcPr>
          <w:p>
            <w:pPr>
              <w:widowControl/>
              <w:jc w:val="center"/>
              <w:rPr>
                <w:rFonts w:ascii="宋体" w:hAnsi="宋体" w:cs="宋体"/>
                <w:color w:val="auto"/>
                <w:szCs w:val="21"/>
              </w:rPr>
            </w:pPr>
          </w:p>
        </w:tc>
      </w:tr>
      <w:tr>
        <w:tblPrEx>
          <w:tblCellMar>
            <w:top w:w="0" w:type="dxa"/>
            <w:left w:w="108" w:type="dxa"/>
            <w:bottom w:w="0" w:type="dxa"/>
            <w:right w:w="108" w:type="dxa"/>
          </w:tblCellMar>
        </w:tblPrEx>
        <w:trPr>
          <w:trHeight w:val="327" w:hRule="atLeast"/>
          <w:jc w:val="center"/>
        </w:trPr>
        <w:tc>
          <w:tcPr>
            <w:tcW w:w="912" w:type="dxa"/>
            <w:tcBorders>
              <w:top w:val="nil"/>
              <w:left w:val="thinThickSmallGap" w:color="auto" w:sz="2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5</w:t>
            </w:r>
          </w:p>
        </w:tc>
        <w:tc>
          <w:tcPr>
            <w:tcW w:w="3116" w:type="dxa"/>
            <w:tcBorders>
              <w:top w:val="nil"/>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速度检测卡</w:t>
            </w:r>
          </w:p>
        </w:tc>
        <w:tc>
          <w:tcPr>
            <w:tcW w:w="3748" w:type="dxa"/>
            <w:tcBorders>
              <w:top w:val="nil"/>
              <w:left w:val="nil"/>
              <w:bottom w:val="single" w:color="auto" w:sz="4" w:space="0"/>
              <w:right w:val="single" w:color="auto" w:sz="4" w:space="0"/>
            </w:tcBorders>
            <w:vAlign w:val="center"/>
          </w:tcPr>
          <w:p>
            <w:pPr>
              <w:widowControl/>
              <w:jc w:val="center"/>
              <w:rPr>
                <w:rFonts w:ascii="宋体" w:hAnsi="宋体" w:cs="宋体"/>
                <w:color w:val="auto"/>
                <w:szCs w:val="21"/>
              </w:rPr>
            </w:pPr>
          </w:p>
        </w:tc>
        <w:tc>
          <w:tcPr>
            <w:tcW w:w="1344" w:type="dxa"/>
            <w:tcBorders>
              <w:top w:val="nil"/>
              <w:left w:val="nil"/>
              <w:bottom w:val="single" w:color="auto" w:sz="4" w:space="0"/>
              <w:right w:val="thickThinSmallGap" w:color="auto" w:sz="24" w:space="0"/>
            </w:tcBorders>
            <w:vAlign w:val="center"/>
          </w:tcPr>
          <w:p>
            <w:pPr>
              <w:widowControl/>
              <w:jc w:val="center"/>
              <w:rPr>
                <w:rFonts w:ascii="宋体" w:hAnsi="宋体" w:cs="宋体"/>
                <w:color w:val="auto"/>
                <w:szCs w:val="21"/>
              </w:rPr>
            </w:pPr>
          </w:p>
        </w:tc>
      </w:tr>
      <w:tr>
        <w:tblPrEx>
          <w:tblCellMar>
            <w:top w:w="0" w:type="dxa"/>
            <w:left w:w="108" w:type="dxa"/>
            <w:bottom w:w="0" w:type="dxa"/>
            <w:right w:w="108" w:type="dxa"/>
          </w:tblCellMar>
        </w:tblPrEx>
        <w:trPr>
          <w:trHeight w:val="327" w:hRule="atLeast"/>
          <w:jc w:val="center"/>
        </w:trPr>
        <w:tc>
          <w:tcPr>
            <w:tcW w:w="912" w:type="dxa"/>
            <w:tcBorders>
              <w:top w:val="nil"/>
              <w:left w:val="thinThickSmallGap" w:color="auto" w:sz="2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6</w:t>
            </w:r>
          </w:p>
        </w:tc>
        <w:tc>
          <w:tcPr>
            <w:tcW w:w="3116" w:type="dxa"/>
            <w:tcBorders>
              <w:top w:val="nil"/>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主接触器</w:t>
            </w:r>
          </w:p>
        </w:tc>
        <w:tc>
          <w:tcPr>
            <w:tcW w:w="3748" w:type="dxa"/>
            <w:tcBorders>
              <w:top w:val="nil"/>
              <w:left w:val="nil"/>
              <w:bottom w:val="single" w:color="auto" w:sz="4" w:space="0"/>
              <w:right w:val="single" w:color="auto" w:sz="4" w:space="0"/>
            </w:tcBorders>
            <w:vAlign w:val="center"/>
          </w:tcPr>
          <w:p>
            <w:pPr>
              <w:widowControl/>
              <w:jc w:val="center"/>
              <w:rPr>
                <w:rFonts w:ascii="宋体" w:hAnsi="宋体" w:cs="宋体"/>
                <w:color w:val="auto"/>
                <w:szCs w:val="21"/>
              </w:rPr>
            </w:pPr>
          </w:p>
        </w:tc>
        <w:tc>
          <w:tcPr>
            <w:tcW w:w="1344" w:type="dxa"/>
            <w:tcBorders>
              <w:top w:val="nil"/>
              <w:left w:val="nil"/>
              <w:bottom w:val="single" w:color="auto" w:sz="4" w:space="0"/>
              <w:right w:val="thickThinSmallGap" w:color="auto" w:sz="24" w:space="0"/>
            </w:tcBorders>
            <w:vAlign w:val="center"/>
          </w:tcPr>
          <w:p>
            <w:pPr>
              <w:widowControl/>
              <w:jc w:val="center"/>
              <w:rPr>
                <w:rFonts w:ascii="宋体" w:hAnsi="宋体" w:cs="宋体"/>
                <w:color w:val="auto"/>
                <w:szCs w:val="21"/>
              </w:rPr>
            </w:pPr>
          </w:p>
        </w:tc>
      </w:tr>
      <w:tr>
        <w:tblPrEx>
          <w:tblCellMar>
            <w:top w:w="0" w:type="dxa"/>
            <w:left w:w="108" w:type="dxa"/>
            <w:bottom w:w="0" w:type="dxa"/>
            <w:right w:w="108" w:type="dxa"/>
          </w:tblCellMar>
        </w:tblPrEx>
        <w:trPr>
          <w:trHeight w:val="327" w:hRule="atLeast"/>
          <w:jc w:val="center"/>
        </w:trPr>
        <w:tc>
          <w:tcPr>
            <w:tcW w:w="912" w:type="dxa"/>
            <w:tcBorders>
              <w:top w:val="nil"/>
              <w:left w:val="thinThickSmallGap" w:color="auto" w:sz="2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7</w:t>
            </w:r>
          </w:p>
        </w:tc>
        <w:tc>
          <w:tcPr>
            <w:tcW w:w="3116" w:type="dxa"/>
            <w:tcBorders>
              <w:top w:val="nil"/>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制动器接触器</w:t>
            </w:r>
          </w:p>
        </w:tc>
        <w:tc>
          <w:tcPr>
            <w:tcW w:w="3748" w:type="dxa"/>
            <w:tcBorders>
              <w:top w:val="nil"/>
              <w:left w:val="nil"/>
              <w:bottom w:val="single" w:color="auto" w:sz="4" w:space="0"/>
              <w:right w:val="single" w:color="auto" w:sz="4" w:space="0"/>
            </w:tcBorders>
            <w:vAlign w:val="center"/>
          </w:tcPr>
          <w:p>
            <w:pPr>
              <w:widowControl/>
              <w:jc w:val="center"/>
              <w:rPr>
                <w:rFonts w:ascii="宋体" w:hAnsi="宋体" w:cs="宋体"/>
                <w:color w:val="auto"/>
                <w:szCs w:val="21"/>
              </w:rPr>
            </w:pPr>
          </w:p>
        </w:tc>
        <w:tc>
          <w:tcPr>
            <w:tcW w:w="1344" w:type="dxa"/>
            <w:tcBorders>
              <w:top w:val="nil"/>
              <w:left w:val="nil"/>
              <w:bottom w:val="single" w:color="auto" w:sz="4" w:space="0"/>
              <w:right w:val="thickThinSmallGap" w:color="auto" w:sz="24" w:space="0"/>
            </w:tcBorders>
            <w:vAlign w:val="center"/>
          </w:tcPr>
          <w:p>
            <w:pPr>
              <w:widowControl/>
              <w:jc w:val="center"/>
              <w:rPr>
                <w:rFonts w:ascii="宋体" w:hAnsi="宋体" w:cs="宋体"/>
                <w:color w:val="auto"/>
                <w:szCs w:val="21"/>
              </w:rPr>
            </w:pPr>
          </w:p>
        </w:tc>
      </w:tr>
      <w:tr>
        <w:tblPrEx>
          <w:tblCellMar>
            <w:top w:w="0" w:type="dxa"/>
            <w:left w:w="108" w:type="dxa"/>
            <w:bottom w:w="0" w:type="dxa"/>
            <w:right w:w="108" w:type="dxa"/>
          </w:tblCellMar>
        </w:tblPrEx>
        <w:trPr>
          <w:trHeight w:val="327" w:hRule="atLeast"/>
          <w:jc w:val="center"/>
        </w:trPr>
        <w:tc>
          <w:tcPr>
            <w:tcW w:w="912" w:type="dxa"/>
            <w:tcBorders>
              <w:top w:val="nil"/>
              <w:left w:val="thinThickSmallGap" w:color="auto" w:sz="2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8</w:t>
            </w:r>
          </w:p>
        </w:tc>
        <w:tc>
          <w:tcPr>
            <w:tcW w:w="3116" w:type="dxa"/>
            <w:tcBorders>
              <w:top w:val="nil"/>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封星安全接触器</w:t>
            </w:r>
          </w:p>
        </w:tc>
        <w:tc>
          <w:tcPr>
            <w:tcW w:w="3748" w:type="dxa"/>
            <w:tcBorders>
              <w:top w:val="nil"/>
              <w:left w:val="nil"/>
              <w:bottom w:val="single" w:color="auto" w:sz="4" w:space="0"/>
              <w:right w:val="single" w:color="auto" w:sz="4" w:space="0"/>
            </w:tcBorders>
            <w:vAlign w:val="center"/>
          </w:tcPr>
          <w:p>
            <w:pPr>
              <w:widowControl/>
              <w:jc w:val="center"/>
              <w:rPr>
                <w:rFonts w:ascii="宋体" w:hAnsi="宋体" w:cs="宋体"/>
                <w:color w:val="auto"/>
                <w:szCs w:val="21"/>
              </w:rPr>
            </w:pPr>
          </w:p>
        </w:tc>
        <w:tc>
          <w:tcPr>
            <w:tcW w:w="1344" w:type="dxa"/>
            <w:tcBorders>
              <w:top w:val="nil"/>
              <w:left w:val="nil"/>
              <w:bottom w:val="single" w:color="auto" w:sz="4" w:space="0"/>
              <w:right w:val="thickThinSmallGap" w:color="auto" w:sz="24" w:space="0"/>
            </w:tcBorders>
            <w:vAlign w:val="center"/>
          </w:tcPr>
          <w:p>
            <w:pPr>
              <w:widowControl/>
              <w:jc w:val="center"/>
              <w:rPr>
                <w:rFonts w:ascii="宋体" w:hAnsi="宋体" w:cs="宋体"/>
                <w:color w:val="auto"/>
                <w:szCs w:val="21"/>
              </w:rPr>
            </w:pPr>
          </w:p>
        </w:tc>
      </w:tr>
      <w:tr>
        <w:tblPrEx>
          <w:tblCellMar>
            <w:top w:w="0" w:type="dxa"/>
            <w:left w:w="108" w:type="dxa"/>
            <w:bottom w:w="0" w:type="dxa"/>
            <w:right w:w="108" w:type="dxa"/>
          </w:tblCellMar>
        </w:tblPrEx>
        <w:trPr>
          <w:trHeight w:val="327" w:hRule="atLeast"/>
          <w:jc w:val="center"/>
        </w:trPr>
        <w:tc>
          <w:tcPr>
            <w:tcW w:w="9120" w:type="dxa"/>
            <w:gridSpan w:val="4"/>
            <w:tcBorders>
              <w:top w:val="single" w:color="auto" w:sz="4" w:space="0"/>
              <w:left w:val="thinThickSmallGap" w:color="auto" w:sz="24" w:space="0"/>
              <w:bottom w:val="single" w:color="auto" w:sz="4" w:space="0"/>
              <w:right w:val="thickThinSmallGap" w:color="auto" w:sz="24" w:space="0"/>
            </w:tcBorders>
            <w:vAlign w:val="center"/>
          </w:tcPr>
          <w:p>
            <w:pPr>
              <w:widowControl/>
              <w:jc w:val="left"/>
              <w:rPr>
                <w:rFonts w:ascii="宋体" w:hAnsi="宋体" w:cs="宋体"/>
                <w:b/>
                <w:bCs/>
                <w:color w:val="auto"/>
                <w:szCs w:val="21"/>
              </w:rPr>
            </w:pPr>
            <w:r>
              <w:rPr>
                <w:rFonts w:hint="eastAsia" w:ascii="宋体" w:hAnsi="宋体" w:cs="宋体"/>
                <w:b/>
                <w:bCs/>
                <w:color w:val="auto"/>
                <w:szCs w:val="21"/>
              </w:rPr>
              <w:t>控制部分</w:t>
            </w:r>
          </w:p>
        </w:tc>
      </w:tr>
      <w:tr>
        <w:tblPrEx>
          <w:tblCellMar>
            <w:top w:w="0" w:type="dxa"/>
            <w:left w:w="108" w:type="dxa"/>
            <w:bottom w:w="0" w:type="dxa"/>
            <w:right w:w="108" w:type="dxa"/>
          </w:tblCellMar>
        </w:tblPrEx>
        <w:trPr>
          <w:trHeight w:val="327" w:hRule="atLeast"/>
          <w:jc w:val="center"/>
        </w:trPr>
        <w:tc>
          <w:tcPr>
            <w:tcW w:w="912" w:type="dxa"/>
            <w:tcBorders>
              <w:top w:val="nil"/>
              <w:left w:val="thinThickSmallGap" w:color="auto" w:sz="2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9</w:t>
            </w:r>
          </w:p>
        </w:tc>
        <w:tc>
          <w:tcPr>
            <w:tcW w:w="3116" w:type="dxa"/>
            <w:tcBorders>
              <w:top w:val="nil"/>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微机-轿厢控制器</w:t>
            </w:r>
          </w:p>
        </w:tc>
        <w:tc>
          <w:tcPr>
            <w:tcW w:w="3748" w:type="dxa"/>
            <w:tcBorders>
              <w:top w:val="nil"/>
              <w:left w:val="nil"/>
              <w:bottom w:val="single" w:color="auto" w:sz="4" w:space="0"/>
              <w:right w:val="single" w:color="auto" w:sz="4" w:space="0"/>
            </w:tcBorders>
            <w:vAlign w:val="center"/>
          </w:tcPr>
          <w:p>
            <w:pPr>
              <w:widowControl/>
              <w:jc w:val="center"/>
              <w:rPr>
                <w:rFonts w:ascii="宋体" w:hAnsi="宋体" w:cs="宋体"/>
                <w:color w:val="auto"/>
                <w:szCs w:val="21"/>
              </w:rPr>
            </w:pPr>
          </w:p>
        </w:tc>
        <w:tc>
          <w:tcPr>
            <w:tcW w:w="1344" w:type="dxa"/>
            <w:tcBorders>
              <w:top w:val="nil"/>
              <w:left w:val="nil"/>
              <w:bottom w:val="single" w:color="auto" w:sz="4" w:space="0"/>
              <w:right w:val="thickThinSmallGap" w:color="auto" w:sz="24" w:space="0"/>
            </w:tcBorders>
            <w:vAlign w:val="center"/>
          </w:tcPr>
          <w:p>
            <w:pPr>
              <w:widowControl/>
              <w:jc w:val="center"/>
              <w:rPr>
                <w:rFonts w:ascii="宋体" w:hAnsi="宋体" w:cs="宋体"/>
                <w:color w:val="auto"/>
                <w:szCs w:val="21"/>
              </w:rPr>
            </w:pPr>
          </w:p>
        </w:tc>
      </w:tr>
      <w:tr>
        <w:tblPrEx>
          <w:tblCellMar>
            <w:top w:w="0" w:type="dxa"/>
            <w:left w:w="108" w:type="dxa"/>
            <w:bottom w:w="0" w:type="dxa"/>
            <w:right w:w="108" w:type="dxa"/>
          </w:tblCellMar>
        </w:tblPrEx>
        <w:trPr>
          <w:trHeight w:val="327" w:hRule="atLeast"/>
          <w:jc w:val="center"/>
        </w:trPr>
        <w:tc>
          <w:tcPr>
            <w:tcW w:w="912" w:type="dxa"/>
            <w:tcBorders>
              <w:top w:val="nil"/>
              <w:left w:val="thinThickSmallGap" w:color="auto" w:sz="2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10</w:t>
            </w:r>
          </w:p>
        </w:tc>
        <w:tc>
          <w:tcPr>
            <w:tcW w:w="3116" w:type="dxa"/>
            <w:tcBorders>
              <w:top w:val="nil"/>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微机-呼梯控制器</w:t>
            </w:r>
          </w:p>
        </w:tc>
        <w:tc>
          <w:tcPr>
            <w:tcW w:w="3748" w:type="dxa"/>
            <w:tcBorders>
              <w:top w:val="nil"/>
              <w:left w:val="nil"/>
              <w:bottom w:val="single" w:color="auto" w:sz="4" w:space="0"/>
              <w:right w:val="single" w:color="auto" w:sz="4" w:space="0"/>
            </w:tcBorders>
            <w:vAlign w:val="center"/>
          </w:tcPr>
          <w:p>
            <w:pPr>
              <w:widowControl/>
              <w:jc w:val="center"/>
              <w:rPr>
                <w:rFonts w:ascii="宋体" w:hAnsi="宋体" w:cs="宋体"/>
                <w:color w:val="auto"/>
                <w:szCs w:val="21"/>
              </w:rPr>
            </w:pPr>
          </w:p>
        </w:tc>
        <w:tc>
          <w:tcPr>
            <w:tcW w:w="1344" w:type="dxa"/>
            <w:tcBorders>
              <w:top w:val="nil"/>
              <w:left w:val="nil"/>
              <w:bottom w:val="single" w:color="auto" w:sz="4" w:space="0"/>
              <w:right w:val="thickThinSmallGap" w:color="auto" w:sz="24" w:space="0"/>
            </w:tcBorders>
            <w:vAlign w:val="center"/>
          </w:tcPr>
          <w:p>
            <w:pPr>
              <w:widowControl/>
              <w:jc w:val="center"/>
              <w:rPr>
                <w:rFonts w:ascii="宋体" w:hAnsi="宋体" w:cs="宋体"/>
                <w:color w:val="auto"/>
                <w:szCs w:val="21"/>
              </w:rPr>
            </w:pPr>
          </w:p>
        </w:tc>
      </w:tr>
      <w:tr>
        <w:tblPrEx>
          <w:tblCellMar>
            <w:top w:w="0" w:type="dxa"/>
            <w:left w:w="108" w:type="dxa"/>
            <w:bottom w:w="0" w:type="dxa"/>
            <w:right w:w="108" w:type="dxa"/>
          </w:tblCellMar>
        </w:tblPrEx>
        <w:trPr>
          <w:trHeight w:val="327" w:hRule="atLeast"/>
          <w:jc w:val="center"/>
        </w:trPr>
        <w:tc>
          <w:tcPr>
            <w:tcW w:w="912" w:type="dxa"/>
            <w:tcBorders>
              <w:top w:val="nil"/>
              <w:left w:val="thinThickSmallGap" w:color="auto" w:sz="2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11</w:t>
            </w:r>
          </w:p>
        </w:tc>
        <w:tc>
          <w:tcPr>
            <w:tcW w:w="3116" w:type="dxa"/>
            <w:tcBorders>
              <w:top w:val="nil"/>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稳压电源</w:t>
            </w:r>
          </w:p>
        </w:tc>
        <w:tc>
          <w:tcPr>
            <w:tcW w:w="3748" w:type="dxa"/>
            <w:tcBorders>
              <w:top w:val="nil"/>
              <w:left w:val="nil"/>
              <w:bottom w:val="single" w:color="auto" w:sz="4" w:space="0"/>
              <w:right w:val="single" w:color="auto" w:sz="4" w:space="0"/>
            </w:tcBorders>
            <w:vAlign w:val="center"/>
          </w:tcPr>
          <w:p>
            <w:pPr>
              <w:widowControl/>
              <w:jc w:val="center"/>
              <w:rPr>
                <w:rFonts w:ascii="宋体" w:hAnsi="宋体" w:cs="宋体"/>
                <w:color w:val="auto"/>
                <w:szCs w:val="21"/>
              </w:rPr>
            </w:pPr>
          </w:p>
        </w:tc>
        <w:tc>
          <w:tcPr>
            <w:tcW w:w="1344" w:type="dxa"/>
            <w:tcBorders>
              <w:top w:val="nil"/>
              <w:left w:val="nil"/>
              <w:bottom w:val="single" w:color="auto" w:sz="4" w:space="0"/>
              <w:right w:val="thickThinSmallGap" w:color="auto" w:sz="24" w:space="0"/>
            </w:tcBorders>
            <w:vAlign w:val="center"/>
          </w:tcPr>
          <w:p>
            <w:pPr>
              <w:widowControl/>
              <w:jc w:val="center"/>
              <w:rPr>
                <w:rFonts w:ascii="宋体" w:hAnsi="宋体" w:cs="宋体"/>
                <w:color w:val="auto"/>
                <w:szCs w:val="21"/>
              </w:rPr>
            </w:pPr>
          </w:p>
        </w:tc>
      </w:tr>
      <w:tr>
        <w:tblPrEx>
          <w:tblCellMar>
            <w:top w:w="0" w:type="dxa"/>
            <w:left w:w="108" w:type="dxa"/>
            <w:bottom w:w="0" w:type="dxa"/>
            <w:right w:w="108" w:type="dxa"/>
          </w:tblCellMar>
        </w:tblPrEx>
        <w:trPr>
          <w:trHeight w:val="327" w:hRule="atLeast"/>
          <w:jc w:val="center"/>
        </w:trPr>
        <w:tc>
          <w:tcPr>
            <w:tcW w:w="912" w:type="dxa"/>
            <w:tcBorders>
              <w:top w:val="nil"/>
              <w:left w:val="thinThickSmallGap" w:color="auto" w:sz="2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12</w:t>
            </w:r>
          </w:p>
        </w:tc>
        <w:tc>
          <w:tcPr>
            <w:tcW w:w="3116" w:type="dxa"/>
            <w:tcBorders>
              <w:top w:val="nil"/>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缺相继电器</w:t>
            </w:r>
          </w:p>
        </w:tc>
        <w:tc>
          <w:tcPr>
            <w:tcW w:w="3748" w:type="dxa"/>
            <w:tcBorders>
              <w:top w:val="nil"/>
              <w:left w:val="nil"/>
              <w:bottom w:val="single" w:color="auto" w:sz="4" w:space="0"/>
              <w:right w:val="single" w:color="auto" w:sz="4" w:space="0"/>
            </w:tcBorders>
            <w:vAlign w:val="center"/>
          </w:tcPr>
          <w:p>
            <w:pPr>
              <w:widowControl/>
              <w:jc w:val="center"/>
              <w:rPr>
                <w:rFonts w:ascii="宋体" w:hAnsi="宋体" w:cs="宋体"/>
                <w:color w:val="auto"/>
                <w:szCs w:val="21"/>
              </w:rPr>
            </w:pPr>
          </w:p>
        </w:tc>
        <w:tc>
          <w:tcPr>
            <w:tcW w:w="1344" w:type="dxa"/>
            <w:tcBorders>
              <w:top w:val="nil"/>
              <w:left w:val="nil"/>
              <w:bottom w:val="single" w:color="auto" w:sz="4" w:space="0"/>
              <w:right w:val="thickThinSmallGap" w:color="auto" w:sz="24" w:space="0"/>
            </w:tcBorders>
            <w:vAlign w:val="center"/>
          </w:tcPr>
          <w:p>
            <w:pPr>
              <w:widowControl/>
              <w:jc w:val="center"/>
              <w:rPr>
                <w:rFonts w:ascii="宋体" w:hAnsi="宋体" w:cs="宋体"/>
                <w:color w:val="auto"/>
                <w:szCs w:val="21"/>
              </w:rPr>
            </w:pPr>
          </w:p>
        </w:tc>
      </w:tr>
      <w:tr>
        <w:tblPrEx>
          <w:tblCellMar>
            <w:top w:w="0" w:type="dxa"/>
            <w:left w:w="108" w:type="dxa"/>
            <w:bottom w:w="0" w:type="dxa"/>
            <w:right w:w="108" w:type="dxa"/>
          </w:tblCellMar>
        </w:tblPrEx>
        <w:trPr>
          <w:trHeight w:val="327" w:hRule="atLeast"/>
          <w:jc w:val="center"/>
        </w:trPr>
        <w:tc>
          <w:tcPr>
            <w:tcW w:w="912" w:type="dxa"/>
            <w:tcBorders>
              <w:top w:val="nil"/>
              <w:left w:val="thinThickSmallGap" w:color="auto" w:sz="2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13</w:t>
            </w:r>
          </w:p>
        </w:tc>
        <w:tc>
          <w:tcPr>
            <w:tcW w:w="3116" w:type="dxa"/>
            <w:tcBorders>
              <w:top w:val="nil"/>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门锁继电器</w:t>
            </w:r>
          </w:p>
        </w:tc>
        <w:tc>
          <w:tcPr>
            <w:tcW w:w="3748" w:type="dxa"/>
            <w:tcBorders>
              <w:top w:val="nil"/>
              <w:left w:val="nil"/>
              <w:bottom w:val="single" w:color="auto" w:sz="4" w:space="0"/>
              <w:right w:val="single" w:color="auto" w:sz="4" w:space="0"/>
            </w:tcBorders>
            <w:vAlign w:val="center"/>
          </w:tcPr>
          <w:p>
            <w:pPr>
              <w:widowControl/>
              <w:jc w:val="center"/>
              <w:rPr>
                <w:rFonts w:ascii="宋体" w:hAnsi="宋体" w:cs="宋体"/>
                <w:color w:val="auto"/>
                <w:szCs w:val="21"/>
              </w:rPr>
            </w:pPr>
          </w:p>
        </w:tc>
        <w:tc>
          <w:tcPr>
            <w:tcW w:w="1344" w:type="dxa"/>
            <w:tcBorders>
              <w:top w:val="nil"/>
              <w:left w:val="nil"/>
              <w:bottom w:val="single" w:color="auto" w:sz="4" w:space="0"/>
              <w:right w:val="thickThinSmallGap" w:color="auto" w:sz="24" w:space="0"/>
            </w:tcBorders>
            <w:vAlign w:val="center"/>
          </w:tcPr>
          <w:p>
            <w:pPr>
              <w:widowControl/>
              <w:jc w:val="center"/>
              <w:rPr>
                <w:rFonts w:ascii="宋体" w:hAnsi="宋体" w:cs="宋体"/>
                <w:color w:val="auto"/>
                <w:szCs w:val="21"/>
              </w:rPr>
            </w:pPr>
          </w:p>
        </w:tc>
      </w:tr>
      <w:tr>
        <w:tblPrEx>
          <w:tblCellMar>
            <w:top w:w="0" w:type="dxa"/>
            <w:left w:w="108" w:type="dxa"/>
            <w:bottom w:w="0" w:type="dxa"/>
            <w:right w:w="108" w:type="dxa"/>
          </w:tblCellMar>
        </w:tblPrEx>
        <w:trPr>
          <w:trHeight w:val="327" w:hRule="atLeast"/>
          <w:jc w:val="center"/>
        </w:trPr>
        <w:tc>
          <w:tcPr>
            <w:tcW w:w="912" w:type="dxa"/>
            <w:tcBorders>
              <w:top w:val="nil"/>
              <w:left w:val="thinThickSmallGap" w:color="auto" w:sz="2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14</w:t>
            </w:r>
          </w:p>
        </w:tc>
        <w:tc>
          <w:tcPr>
            <w:tcW w:w="3116" w:type="dxa"/>
            <w:tcBorders>
              <w:top w:val="nil"/>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单极断路器</w:t>
            </w:r>
          </w:p>
        </w:tc>
        <w:tc>
          <w:tcPr>
            <w:tcW w:w="3748" w:type="dxa"/>
            <w:tcBorders>
              <w:top w:val="nil"/>
              <w:left w:val="nil"/>
              <w:bottom w:val="single" w:color="auto" w:sz="4" w:space="0"/>
              <w:right w:val="single" w:color="auto" w:sz="4" w:space="0"/>
            </w:tcBorders>
            <w:vAlign w:val="center"/>
          </w:tcPr>
          <w:p>
            <w:pPr>
              <w:widowControl/>
              <w:jc w:val="center"/>
              <w:rPr>
                <w:rFonts w:ascii="宋体" w:hAnsi="宋体" w:cs="宋体"/>
                <w:color w:val="auto"/>
                <w:szCs w:val="21"/>
              </w:rPr>
            </w:pPr>
          </w:p>
        </w:tc>
        <w:tc>
          <w:tcPr>
            <w:tcW w:w="1344" w:type="dxa"/>
            <w:tcBorders>
              <w:top w:val="nil"/>
              <w:left w:val="nil"/>
              <w:bottom w:val="single" w:color="auto" w:sz="4" w:space="0"/>
              <w:right w:val="thickThinSmallGap" w:color="auto" w:sz="24" w:space="0"/>
            </w:tcBorders>
            <w:vAlign w:val="center"/>
          </w:tcPr>
          <w:p>
            <w:pPr>
              <w:widowControl/>
              <w:jc w:val="center"/>
              <w:rPr>
                <w:rFonts w:ascii="宋体" w:hAnsi="宋体" w:cs="宋体"/>
                <w:color w:val="auto"/>
                <w:szCs w:val="21"/>
              </w:rPr>
            </w:pPr>
          </w:p>
        </w:tc>
      </w:tr>
      <w:tr>
        <w:tblPrEx>
          <w:tblCellMar>
            <w:top w:w="0" w:type="dxa"/>
            <w:left w:w="108" w:type="dxa"/>
            <w:bottom w:w="0" w:type="dxa"/>
            <w:right w:w="108" w:type="dxa"/>
          </w:tblCellMar>
        </w:tblPrEx>
        <w:trPr>
          <w:trHeight w:val="327" w:hRule="atLeast"/>
          <w:jc w:val="center"/>
        </w:trPr>
        <w:tc>
          <w:tcPr>
            <w:tcW w:w="912" w:type="dxa"/>
            <w:tcBorders>
              <w:top w:val="nil"/>
              <w:left w:val="thinThickSmallGap" w:color="auto" w:sz="2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15</w:t>
            </w:r>
          </w:p>
        </w:tc>
        <w:tc>
          <w:tcPr>
            <w:tcW w:w="3116" w:type="dxa"/>
            <w:tcBorders>
              <w:top w:val="nil"/>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控制柜检修转换开关</w:t>
            </w:r>
          </w:p>
        </w:tc>
        <w:tc>
          <w:tcPr>
            <w:tcW w:w="3748" w:type="dxa"/>
            <w:tcBorders>
              <w:top w:val="nil"/>
              <w:left w:val="nil"/>
              <w:bottom w:val="single" w:color="auto" w:sz="4" w:space="0"/>
              <w:right w:val="single" w:color="auto" w:sz="4" w:space="0"/>
            </w:tcBorders>
            <w:vAlign w:val="center"/>
          </w:tcPr>
          <w:p>
            <w:pPr>
              <w:widowControl/>
              <w:jc w:val="center"/>
              <w:rPr>
                <w:rFonts w:ascii="宋体" w:hAnsi="宋体" w:cs="宋体"/>
                <w:color w:val="auto"/>
                <w:szCs w:val="21"/>
              </w:rPr>
            </w:pPr>
          </w:p>
        </w:tc>
        <w:tc>
          <w:tcPr>
            <w:tcW w:w="1344" w:type="dxa"/>
            <w:tcBorders>
              <w:top w:val="nil"/>
              <w:left w:val="nil"/>
              <w:bottom w:val="single" w:color="auto" w:sz="4" w:space="0"/>
              <w:right w:val="thickThinSmallGap" w:color="auto" w:sz="24" w:space="0"/>
            </w:tcBorders>
            <w:vAlign w:val="center"/>
          </w:tcPr>
          <w:p>
            <w:pPr>
              <w:widowControl/>
              <w:jc w:val="center"/>
              <w:rPr>
                <w:rFonts w:ascii="宋体" w:hAnsi="宋体" w:cs="宋体"/>
                <w:color w:val="auto"/>
                <w:szCs w:val="21"/>
              </w:rPr>
            </w:pPr>
          </w:p>
        </w:tc>
      </w:tr>
      <w:tr>
        <w:tblPrEx>
          <w:tblCellMar>
            <w:top w:w="0" w:type="dxa"/>
            <w:left w:w="108" w:type="dxa"/>
            <w:bottom w:w="0" w:type="dxa"/>
            <w:right w:w="108" w:type="dxa"/>
          </w:tblCellMar>
        </w:tblPrEx>
        <w:trPr>
          <w:trHeight w:val="327" w:hRule="atLeast"/>
          <w:jc w:val="center"/>
        </w:trPr>
        <w:tc>
          <w:tcPr>
            <w:tcW w:w="912" w:type="dxa"/>
            <w:tcBorders>
              <w:top w:val="nil"/>
              <w:left w:val="thinThickSmallGap" w:color="auto" w:sz="2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16</w:t>
            </w:r>
          </w:p>
        </w:tc>
        <w:tc>
          <w:tcPr>
            <w:tcW w:w="3116" w:type="dxa"/>
            <w:tcBorders>
              <w:top w:val="nil"/>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控制柜急停开关</w:t>
            </w:r>
          </w:p>
        </w:tc>
        <w:tc>
          <w:tcPr>
            <w:tcW w:w="3748" w:type="dxa"/>
            <w:tcBorders>
              <w:top w:val="nil"/>
              <w:left w:val="nil"/>
              <w:bottom w:val="single" w:color="auto" w:sz="4" w:space="0"/>
              <w:right w:val="single" w:color="auto" w:sz="4" w:space="0"/>
            </w:tcBorders>
            <w:vAlign w:val="center"/>
          </w:tcPr>
          <w:p>
            <w:pPr>
              <w:widowControl/>
              <w:jc w:val="center"/>
              <w:rPr>
                <w:rFonts w:ascii="宋体" w:hAnsi="宋体" w:cs="宋体"/>
                <w:color w:val="auto"/>
                <w:szCs w:val="21"/>
              </w:rPr>
            </w:pPr>
          </w:p>
        </w:tc>
        <w:tc>
          <w:tcPr>
            <w:tcW w:w="1344" w:type="dxa"/>
            <w:tcBorders>
              <w:top w:val="nil"/>
              <w:left w:val="nil"/>
              <w:bottom w:val="single" w:color="auto" w:sz="4" w:space="0"/>
              <w:right w:val="thickThinSmallGap" w:color="auto" w:sz="24" w:space="0"/>
            </w:tcBorders>
            <w:vAlign w:val="center"/>
          </w:tcPr>
          <w:p>
            <w:pPr>
              <w:widowControl/>
              <w:jc w:val="center"/>
              <w:rPr>
                <w:rFonts w:ascii="宋体" w:hAnsi="宋体" w:cs="宋体"/>
                <w:color w:val="auto"/>
                <w:szCs w:val="21"/>
              </w:rPr>
            </w:pPr>
          </w:p>
        </w:tc>
      </w:tr>
      <w:tr>
        <w:tblPrEx>
          <w:tblCellMar>
            <w:top w:w="0" w:type="dxa"/>
            <w:left w:w="108" w:type="dxa"/>
            <w:bottom w:w="0" w:type="dxa"/>
            <w:right w:w="108" w:type="dxa"/>
          </w:tblCellMar>
        </w:tblPrEx>
        <w:trPr>
          <w:trHeight w:val="327" w:hRule="atLeast"/>
          <w:jc w:val="center"/>
        </w:trPr>
        <w:tc>
          <w:tcPr>
            <w:tcW w:w="912" w:type="dxa"/>
            <w:tcBorders>
              <w:top w:val="nil"/>
              <w:left w:val="thinThickSmallGap" w:color="auto" w:sz="2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17</w:t>
            </w:r>
          </w:p>
        </w:tc>
        <w:tc>
          <w:tcPr>
            <w:tcW w:w="3116" w:type="dxa"/>
            <w:tcBorders>
              <w:top w:val="nil"/>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控制柜检修按钮</w:t>
            </w:r>
          </w:p>
        </w:tc>
        <w:tc>
          <w:tcPr>
            <w:tcW w:w="3748" w:type="dxa"/>
            <w:tcBorders>
              <w:top w:val="nil"/>
              <w:left w:val="nil"/>
              <w:bottom w:val="single" w:color="auto" w:sz="4" w:space="0"/>
              <w:right w:val="single" w:color="auto" w:sz="4" w:space="0"/>
            </w:tcBorders>
            <w:vAlign w:val="center"/>
          </w:tcPr>
          <w:p>
            <w:pPr>
              <w:widowControl/>
              <w:jc w:val="center"/>
              <w:rPr>
                <w:rFonts w:ascii="宋体" w:hAnsi="宋体" w:cs="宋体"/>
                <w:color w:val="auto"/>
                <w:szCs w:val="21"/>
              </w:rPr>
            </w:pPr>
          </w:p>
        </w:tc>
        <w:tc>
          <w:tcPr>
            <w:tcW w:w="1344" w:type="dxa"/>
            <w:tcBorders>
              <w:top w:val="nil"/>
              <w:left w:val="nil"/>
              <w:bottom w:val="single" w:color="auto" w:sz="4" w:space="0"/>
              <w:right w:val="thickThinSmallGap" w:color="auto" w:sz="24" w:space="0"/>
            </w:tcBorders>
            <w:vAlign w:val="center"/>
          </w:tcPr>
          <w:p>
            <w:pPr>
              <w:widowControl/>
              <w:jc w:val="center"/>
              <w:rPr>
                <w:rFonts w:ascii="宋体" w:hAnsi="宋体" w:cs="宋体"/>
                <w:color w:val="auto"/>
                <w:szCs w:val="21"/>
              </w:rPr>
            </w:pPr>
          </w:p>
        </w:tc>
      </w:tr>
      <w:tr>
        <w:tblPrEx>
          <w:tblCellMar>
            <w:top w:w="0" w:type="dxa"/>
            <w:left w:w="108" w:type="dxa"/>
            <w:bottom w:w="0" w:type="dxa"/>
            <w:right w:w="108" w:type="dxa"/>
          </w:tblCellMar>
        </w:tblPrEx>
        <w:trPr>
          <w:trHeight w:val="327" w:hRule="atLeast"/>
          <w:jc w:val="center"/>
        </w:trPr>
        <w:tc>
          <w:tcPr>
            <w:tcW w:w="912" w:type="dxa"/>
            <w:tcBorders>
              <w:top w:val="nil"/>
              <w:left w:val="thinThickSmallGap" w:color="auto" w:sz="2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18</w:t>
            </w:r>
          </w:p>
        </w:tc>
        <w:tc>
          <w:tcPr>
            <w:tcW w:w="3116" w:type="dxa"/>
            <w:tcBorders>
              <w:top w:val="nil"/>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双电源控制柜</w:t>
            </w:r>
          </w:p>
        </w:tc>
        <w:tc>
          <w:tcPr>
            <w:tcW w:w="3748" w:type="dxa"/>
            <w:tcBorders>
              <w:top w:val="nil"/>
              <w:left w:val="nil"/>
              <w:bottom w:val="single" w:color="auto" w:sz="4" w:space="0"/>
              <w:right w:val="single" w:color="auto" w:sz="4" w:space="0"/>
            </w:tcBorders>
            <w:vAlign w:val="center"/>
          </w:tcPr>
          <w:p>
            <w:pPr>
              <w:widowControl/>
              <w:jc w:val="center"/>
              <w:rPr>
                <w:rFonts w:ascii="宋体" w:hAnsi="宋体" w:cs="宋体"/>
                <w:color w:val="auto"/>
                <w:szCs w:val="21"/>
              </w:rPr>
            </w:pPr>
          </w:p>
        </w:tc>
        <w:tc>
          <w:tcPr>
            <w:tcW w:w="1344" w:type="dxa"/>
            <w:tcBorders>
              <w:top w:val="nil"/>
              <w:left w:val="nil"/>
              <w:bottom w:val="single" w:color="auto" w:sz="4" w:space="0"/>
              <w:right w:val="thickThinSmallGap" w:color="auto" w:sz="24" w:space="0"/>
            </w:tcBorders>
            <w:vAlign w:val="center"/>
          </w:tcPr>
          <w:p>
            <w:pPr>
              <w:widowControl/>
              <w:jc w:val="center"/>
              <w:rPr>
                <w:rFonts w:ascii="宋体" w:hAnsi="宋体" w:cs="宋体"/>
                <w:color w:val="auto"/>
                <w:szCs w:val="21"/>
              </w:rPr>
            </w:pPr>
          </w:p>
        </w:tc>
      </w:tr>
      <w:tr>
        <w:tblPrEx>
          <w:tblCellMar>
            <w:top w:w="0" w:type="dxa"/>
            <w:left w:w="108" w:type="dxa"/>
            <w:bottom w:w="0" w:type="dxa"/>
            <w:right w:w="108" w:type="dxa"/>
          </w:tblCellMar>
        </w:tblPrEx>
        <w:trPr>
          <w:trHeight w:val="327" w:hRule="atLeast"/>
          <w:jc w:val="center"/>
        </w:trPr>
        <w:tc>
          <w:tcPr>
            <w:tcW w:w="9120" w:type="dxa"/>
            <w:gridSpan w:val="4"/>
            <w:tcBorders>
              <w:top w:val="single" w:color="auto" w:sz="4" w:space="0"/>
              <w:left w:val="thinThickSmallGap" w:color="auto" w:sz="24" w:space="0"/>
              <w:bottom w:val="single" w:color="auto" w:sz="4" w:space="0"/>
              <w:right w:val="thickThinSmallGap" w:color="auto" w:sz="24" w:space="0"/>
            </w:tcBorders>
            <w:vAlign w:val="center"/>
          </w:tcPr>
          <w:p>
            <w:pPr>
              <w:widowControl/>
              <w:jc w:val="left"/>
              <w:rPr>
                <w:rFonts w:ascii="宋体" w:hAnsi="宋体" w:cs="宋体"/>
                <w:b/>
                <w:bCs/>
                <w:color w:val="auto"/>
                <w:szCs w:val="21"/>
              </w:rPr>
            </w:pPr>
            <w:r>
              <w:rPr>
                <w:rFonts w:hint="eastAsia" w:ascii="宋体" w:hAnsi="宋体" w:cs="宋体"/>
                <w:b/>
                <w:bCs/>
                <w:color w:val="auto"/>
                <w:szCs w:val="21"/>
              </w:rPr>
              <w:t>门系统部分</w:t>
            </w:r>
          </w:p>
        </w:tc>
      </w:tr>
      <w:tr>
        <w:tblPrEx>
          <w:tblCellMar>
            <w:top w:w="0" w:type="dxa"/>
            <w:left w:w="108" w:type="dxa"/>
            <w:bottom w:w="0" w:type="dxa"/>
            <w:right w:w="108" w:type="dxa"/>
          </w:tblCellMar>
        </w:tblPrEx>
        <w:trPr>
          <w:trHeight w:val="327" w:hRule="atLeast"/>
          <w:jc w:val="center"/>
        </w:trPr>
        <w:tc>
          <w:tcPr>
            <w:tcW w:w="912" w:type="dxa"/>
            <w:tcBorders>
              <w:top w:val="nil"/>
              <w:left w:val="thinThickSmallGap" w:color="auto" w:sz="2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19</w:t>
            </w:r>
          </w:p>
        </w:tc>
        <w:tc>
          <w:tcPr>
            <w:tcW w:w="3116" w:type="dxa"/>
            <w:tcBorders>
              <w:top w:val="nil"/>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门机</w:t>
            </w:r>
          </w:p>
        </w:tc>
        <w:tc>
          <w:tcPr>
            <w:tcW w:w="3748" w:type="dxa"/>
            <w:tcBorders>
              <w:top w:val="nil"/>
              <w:left w:val="nil"/>
              <w:bottom w:val="single" w:color="auto" w:sz="4" w:space="0"/>
              <w:right w:val="single" w:color="auto" w:sz="4" w:space="0"/>
            </w:tcBorders>
            <w:vAlign w:val="center"/>
          </w:tcPr>
          <w:p>
            <w:pPr>
              <w:jc w:val="center"/>
              <w:rPr>
                <w:color w:val="auto"/>
              </w:rPr>
            </w:pPr>
          </w:p>
        </w:tc>
        <w:tc>
          <w:tcPr>
            <w:tcW w:w="1344" w:type="dxa"/>
            <w:tcBorders>
              <w:top w:val="nil"/>
              <w:left w:val="nil"/>
              <w:bottom w:val="single" w:color="auto" w:sz="4" w:space="0"/>
              <w:right w:val="thickThinSmallGap" w:color="auto" w:sz="24" w:space="0"/>
            </w:tcBorders>
            <w:vAlign w:val="center"/>
          </w:tcPr>
          <w:p>
            <w:pPr>
              <w:widowControl/>
              <w:jc w:val="center"/>
              <w:rPr>
                <w:rFonts w:ascii="宋体" w:hAnsi="宋体" w:cs="宋体"/>
                <w:color w:val="auto"/>
                <w:szCs w:val="21"/>
              </w:rPr>
            </w:pPr>
          </w:p>
        </w:tc>
      </w:tr>
      <w:tr>
        <w:tblPrEx>
          <w:tblCellMar>
            <w:top w:w="0" w:type="dxa"/>
            <w:left w:w="108" w:type="dxa"/>
            <w:bottom w:w="0" w:type="dxa"/>
            <w:right w:w="108" w:type="dxa"/>
          </w:tblCellMar>
        </w:tblPrEx>
        <w:trPr>
          <w:trHeight w:val="327" w:hRule="atLeast"/>
          <w:jc w:val="center"/>
        </w:trPr>
        <w:tc>
          <w:tcPr>
            <w:tcW w:w="912" w:type="dxa"/>
            <w:tcBorders>
              <w:top w:val="nil"/>
              <w:left w:val="thinThickSmallGap" w:color="auto" w:sz="2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20</w:t>
            </w:r>
          </w:p>
        </w:tc>
        <w:tc>
          <w:tcPr>
            <w:tcW w:w="3116" w:type="dxa"/>
            <w:tcBorders>
              <w:top w:val="nil"/>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层门装置</w:t>
            </w:r>
          </w:p>
        </w:tc>
        <w:tc>
          <w:tcPr>
            <w:tcW w:w="3748" w:type="dxa"/>
            <w:tcBorders>
              <w:top w:val="nil"/>
              <w:left w:val="nil"/>
              <w:bottom w:val="single" w:color="auto" w:sz="4" w:space="0"/>
              <w:right w:val="single" w:color="auto" w:sz="4" w:space="0"/>
            </w:tcBorders>
            <w:vAlign w:val="center"/>
          </w:tcPr>
          <w:p>
            <w:pPr>
              <w:jc w:val="center"/>
              <w:rPr>
                <w:color w:val="auto"/>
              </w:rPr>
            </w:pPr>
          </w:p>
        </w:tc>
        <w:tc>
          <w:tcPr>
            <w:tcW w:w="1344" w:type="dxa"/>
            <w:tcBorders>
              <w:top w:val="nil"/>
              <w:left w:val="nil"/>
              <w:bottom w:val="single" w:color="auto" w:sz="4" w:space="0"/>
              <w:right w:val="thickThinSmallGap" w:color="auto" w:sz="24" w:space="0"/>
            </w:tcBorders>
            <w:vAlign w:val="center"/>
          </w:tcPr>
          <w:p>
            <w:pPr>
              <w:widowControl/>
              <w:jc w:val="center"/>
              <w:rPr>
                <w:rFonts w:ascii="宋体" w:hAnsi="宋体" w:cs="宋体"/>
                <w:color w:val="auto"/>
                <w:szCs w:val="21"/>
              </w:rPr>
            </w:pPr>
          </w:p>
        </w:tc>
      </w:tr>
      <w:tr>
        <w:tblPrEx>
          <w:tblCellMar>
            <w:top w:w="0" w:type="dxa"/>
            <w:left w:w="108" w:type="dxa"/>
            <w:bottom w:w="0" w:type="dxa"/>
            <w:right w:w="108" w:type="dxa"/>
          </w:tblCellMar>
        </w:tblPrEx>
        <w:trPr>
          <w:trHeight w:val="327" w:hRule="atLeast"/>
          <w:jc w:val="center"/>
        </w:trPr>
        <w:tc>
          <w:tcPr>
            <w:tcW w:w="9120" w:type="dxa"/>
            <w:gridSpan w:val="4"/>
            <w:tcBorders>
              <w:top w:val="single" w:color="auto" w:sz="4" w:space="0"/>
              <w:left w:val="thinThickSmallGap" w:color="auto" w:sz="24" w:space="0"/>
              <w:bottom w:val="single" w:color="auto" w:sz="4" w:space="0"/>
              <w:right w:val="thickThinSmallGap" w:color="auto" w:sz="24" w:space="0"/>
            </w:tcBorders>
            <w:vAlign w:val="center"/>
          </w:tcPr>
          <w:p>
            <w:pPr>
              <w:widowControl/>
              <w:jc w:val="left"/>
              <w:rPr>
                <w:rFonts w:ascii="宋体" w:hAnsi="宋体" w:cs="宋体"/>
                <w:b/>
                <w:bCs/>
                <w:color w:val="auto"/>
                <w:szCs w:val="21"/>
              </w:rPr>
            </w:pPr>
            <w:r>
              <w:rPr>
                <w:rFonts w:hint="eastAsia" w:ascii="宋体" w:hAnsi="宋体" w:cs="宋体"/>
                <w:b/>
                <w:bCs/>
                <w:color w:val="auto"/>
                <w:szCs w:val="21"/>
              </w:rPr>
              <w:t>安全部件</w:t>
            </w:r>
          </w:p>
        </w:tc>
      </w:tr>
      <w:tr>
        <w:tblPrEx>
          <w:tblCellMar>
            <w:top w:w="0" w:type="dxa"/>
            <w:left w:w="108" w:type="dxa"/>
            <w:bottom w:w="0" w:type="dxa"/>
            <w:right w:w="108" w:type="dxa"/>
          </w:tblCellMar>
        </w:tblPrEx>
        <w:trPr>
          <w:trHeight w:val="327" w:hRule="atLeast"/>
          <w:jc w:val="center"/>
        </w:trPr>
        <w:tc>
          <w:tcPr>
            <w:tcW w:w="912" w:type="dxa"/>
            <w:tcBorders>
              <w:top w:val="nil"/>
              <w:left w:val="thinThickSmallGap" w:color="auto" w:sz="2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21</w:t>
            </w:r>
          </w:p>
        </w:tc>
        <w:tc>
          <w:tcPr>
            <w:tcW w:w="3116" w:type="dxa"/>
            <w:tcBorders>
              <w:top w:val="nil"/>
              <w:left w:val="nil"/>
              <w:bottom w:val="single" w:color="auto" w:sz="4" w:space="0"/>
              <w:right w:val="nil"/>
            </w:tcBorders>
            <w:vAlign w:val="center"/>
          </w:tcPr>
          <w:p>
            <w:pPr>
              <w:widowControl/>
              <w:jc w:val="center"/>
              <w:rPr>
                <w:rFonts w:ascii="宋体" w:hAnsi="宋体" w:cs="宋体"/>
                <w:color w:val="auto"/>
                <w:szCs w:val="21"/>
              </w:rPr>
            </w:pPr>
            <w:r>
              <w:rPr>
                <w:rFonts w:hint="eastAsia" w:ascii="宋体" w:hAnsi="宋体" w:cs="宋体"/>
                <w:color w:val="auto"/>
                <w:szCs w:val="21"/>
              </w:rPr>
              <w:t>红外线光幕</w:t>
            </w:r>
          </w:p>
        </w:tc>
        <w:tc>
          <w:tcPr>
            <w:tcW w:w="374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p>
        </w:tc>
        <w:tc>
          <w:tcPr>
            <w:tcW w:w="1344" w:type="dxa"/>
            <w:tcBorders>
              <w:top w:val="nil"/>
              <w:left w:val="nil"/>
              <w:bottom w:val="single" w:color="auto" w:sz="4" w:space="0"/>
              <w:right w:val="thickThinSmallGap" w:color="auto" w:sz="24" w:space="0"/>
            </w:tcBorders>
            <w:vAlign w:val="center"/>
          </w:tcPr>
          <w:p>
            <w:pPr>
              <w:widowControl/>
              <w:jc w:val="center"/>
              <w:rPr>
                <w:rFonts w:ascii="宋体" w:hAnsi="宋体" w:cs="宋体"/>
                <w:color w:val="auto"/>
                <w:szCs w:val="21"/>
              </w:rPr>
            </w:pPr>
          </w:p>
        </w:tc>
      </w:tr>
      <w:tr>
        <w:tblPrEx>
          <w:tblCellMar>
            <w:top w:w="0" w:type="dxa"/>
            <w:left w:w="108" w:type="dxa"/>
            <w:bottom w:w="0" w:type="dxa"/>
            <w:right w:w="108" w:type="dxa"/>
          </w:tblCellMar>
        </w:tblPrEx>
        <w:trPr>
          <w:trHeight w:val="327" w:hRule="atLeast"/>
          <w:jc w:val="center"/>
        </w:trPr>
        <w:tc>
          <w:tcPr>
            <w:tcW w:w="912" w:type="dxa"/>
            <w:tcBorders>
              <w:top w:val="nil"/>
              <w:left w:val="thinThickSmallGap" w:color="auto" w:sz="2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22</w:t>
            </w:r>
          </w:p>
        </w:tc>
        <w:tc>
          <w:tcPr>
            <w:tcW w:w="3116" w:type="dxa"/>
            <w:tcBorders>
              <w:top w:val="nil"/>
              <w:left w:val="nil"/>
              <w:bottom w:val="single" w:color="auto" w:sz="4" w:space="0"/>
              <w:right w:val="nil"/>
            </w:tcBorders>
            <w:vAlign w:val="center"/>
          </w:tcPr>
          <w:p>
            <w:pPr>
              <w:widowControl/>
              <w:jc w:val="center"/>
              <w:rPr>
                <w:rFonts w:ascii="宋体" w:hAnsi="宋体" w:cs="宋体"/>
                <w:color w:val="auto"/>
                <w:szCs w:val="21"/>
              </w:rPr>
            </w:pPr>
            <w:r>
              <w:rPr>
                <w:rFonts w:hint="eastAsia" w:ascii="宋体" w:hAnsi="宋体" w:cs="宋体"/>
                <w:color w:val="auto"/>
                <w:szCs w:val="21"/>
              </w:rPr>
              <w:t>井道位置传感器</w:t>
            </w:r>
          </w:p>
        </w:tc>
        <w:tc>
          <w:tcPr>
            <w:tcW w:w="374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p>
        </w:tc>
        <w:tc>
          <w:tcPr>
            <w:tcW w:w="1344" w:type="dxa"/>
            <w:tcBorders>
              <w:top w:val="nil"/>
              <w:left w:val="nil"/>
              <w:bottom w:val="single" w:color="auto" w:sz="4" w:space="0"/>
              <w:right w:val="thickThinSmallGap" w:color="auto" w:sz="24" w:space="0"/>
            </w:tcBorders>
            <w:vAlign w:val="center"/>
          </w:tcPr>
          <w:p>
            <w:pPr>
              <w:widowControl/>
              <w:jc w:val="center"/>
              <w:rPr>
                <w:rFonts w:ascii="宋体" w:hAnsi="宋体" w:cs="宋体"/>
                <w:color w:val="auto"/>
                <w:szCs w:val="21"/>
              </w:rPr>
            </w:pPr>
          </w:p>
        </w:tc>
      </w:tr>
      <w:tr>
        <w:tblPrEx>
          <w:tblCellMar>
            <w:top w:w="0" w:type="dxa"/>
            <w:left w:w="108" w:type="dxa"/>
            <w:bottom w:w="0" w:type="dxa"/>
            <w:right w:w="108" w:type="dxa"/>
          </w:tblCellMar>
        </w:tblPrEx>
        <w:trPr>
          <w:trHeight w:val="327" w:hRule="atLeast"/>
          <w:jc w:val="center"/>
        </w:trPr>
        <w:tc>
          <w:tcPr>
            <w:tcW w:w="912" w:type="dxa"/>
            <w:tcBorders>
              <w:top w:val="nil"/>
              <w:left w:val="thinThickSmallGap" w:color="auto" w:sz="2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23</w:t>
            </w:r>
          </w:p>
        </w:tc>
        <w:tc>
          <w:tcPr>
            <w:tcW w:w="3116" w:type="dxa"/>
            <w:tcBorders>
              <w:top w:val="nil"/>
              <w:left w:val="nil"/>
              <w:bottom w:val="single" w:color="auto" w:sz="4" w:space="0"/>
              <w:right w:val="nil"/>
            </w:tcBorders>
            <w:vAlign w:val="center"/>
          </w:tcPr>
          <w:p>
            <w:pPr>
              <w:widowControl/>
              <w:jc w:val="center"/>
              <w:rPr>
                <w:rFonts w:ascii="宋体" w:hAnsi="宋体" w:cs="宋体"/>
                <w:color w:val="auto"/>
                <w:szCs w:val="21"/>
              </w:rPr>
            </w:pPr>
            <w:r>
              <w:rPr>
                <w:rFonts w:hint="eastAsia" w:ascii="宋体" w:hAnsi="宋体" w:cs="宋体"/>
                <w:color w:val="auto"/>
                <w:szCs w:val="21"/>
              </w:rPr>
              <w:t>安全钳组件</w:t>
            </w:r>
          </w:p>
        </w:tc>
        <w:tc>
          <w:tcPr>
            <w:tcW w:w="374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p>
        </w:tc>
        <w:tc>
          <w:tcPr>
            <w:tcW w:w="1344" w:type="dxa"/>
            <w:tcBorders>
              <w:top w:val="nil"/>
              <w:left w:val="nil"/>
              <w:bottom w:val="single" w:color="auto" w:sz="4" w:space="0"/>
              <w:right w:val="thickThinSmallGap" w:color="auto" w:sz="24" w:space="0"/>
            </w:tcBorders>
            <w:vAlign w:val="center"/>
          </w:tcPr>
          <w:p>
            <w:pPr>
              <w:widowControl/>
              <w:jc w:val="center"/>
              <w:rPr>
                <w:rFonts w:ascii="宋体" w:hAnsi="宋体" w:cs="宋体"/>
                <w:color w:val="auto"/>
                <w:szCs w:val="21"/>
              </w:rPr>
            </w:pPr>
          </w:p>
        </w:tc>
      </w:tr>
      <w:tr>
        <w:tblPrEx>
          <w:tblCellMar>
            <w:top w:w="0" w:type="dxa"/>
            <w:left w:w="108" w:type="dxa"/>
            <w:bottom w:w="0" w:type="dxa"/>
            <w:right w:w="108" w:type="dxa"/>
          </w:tblCellMar>
        </w:tblPrEx>
        <w:trPr>
          <w:trHeight w:val="327" w:hRule="atLeast"/>
          <w:jc w:val="center"/>
        </w:trPr>
        <w:tc>
          <w:tcPr>
            <w:tcW w:w="912" w:type="dxa"/>
            <w:tcBorders>
              <w:top w:val="nil"/>
              <w:left w:val="thinThickSmallGap" w:color="auto" w:sz="2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24</w:t>
            </w:r>
          </w:p>
        </w:tc>
        <w:tc>
          <w:tcPr>
            <w:tcW w:w="3116" w:type="dxa"/>
            <w:tcBorders>
              <w:top w:val="nil"/>
              <w:left w:val="nil"/>
              <w:bottom w:val="single" w:color="auto" w:sz="4" w:space="0"/>
              <w:right w:val="nil"/>
            </w:tcBorders>
            <w:vAlign w:val="center"/>
          </w:tcPr>
          <w:p>
            <w:pPr>
              <w:widowControl/>
              <w:jc w:val="center"/>
              <w:rPr>
                <w:rFonts w:ascii="宋体" w:hAnsi="宋体" w:cs="宋体"/>
                <w:color w:val="auto"/>
                <w:szCs w:val="21"/>
              </w:rPr>
            </w:pPr>
            <w:r>
              <w:rPr>
                <w:rFonts w:hint="eastAsia" w:ascii="宋体" w:hAnsi="宋体" w:cs="宋体"/>
                <w:color w:val="auto"/>
                <w:szCs w:val="21"/>
              </w:rPr>
              <w:t>缓冲器</w:t>
            </w:r>
          </w:p>
        </w:tc>
        <w:tc>
          <w:tcPr>
            <w:tcW w:w="374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p>
        </w:tc>
        <w:tc>
          <w:tcPr>
            <w:tcW w:w="1344" w:type="dxa"/>
            <w:tcBorders>
              <w:top w:val="nil"/>
              <w:left w:val="nil"/>
              <w:bottom w:val="single" w:color="auto" w:sz="4" w:space="0"/>
              <w:right w:val="thickThinSmallGap" w:color="auto" w:sz="24" w:space="0"/>
            </w:tcBorders>
            <w:vAlign w:val="center"/>
          </w:tcPr>
          <w:p>
            <w:pPr>
              <w:widowControl/>
              <w:jc w:val="center"/>
              <w:rPr>
                <w:rFonts w:ascii="宋体" w:hAnsi="宋体" w:cs="宋体"/>
                <w:color w:val="auto"/>
                <w:szCs w:val="21"/>
              </w:rPr>
            </w:pPr>
          </w:p>
        </w:tc>
      </w:tr>
      <w:tr>
        <w:tblPrEx>
          <w:tblCellMar>
            <w:top w:w="0" w:type="dxa"/>
            <w:left w:w="108" w:type="dxa"/>
            <w:bottom w:w="0" w:type="dxa"/>
            <w:right w:w="108" w:type="dxa"/>
          </w:tblCellMar>
        </w:tblPrEx>
        <w:trPr>
          <w:trHeight w:val="327" w:hRule="atLeast"/>
          <w:jc w:val="center"/>
        </w:trPr>
        <w:tc>
          <w:tcPr>
            <w:tcW w:w="912" w:type="dxa"/>
            <w:tcBorders>
              <w:top w:val="nil"/>
              <w:left w:val="thinThickSmallGap" w:color="auto" w:sz="2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25</w:t>
            </w:r>
          </w:p>
        </w:tc>
        <w:tc>
          <w:tcPr>
            <w:tcW w:w="3116" w:type="dxa"/>
            <w:tcBorders>
              <w:top w:val="nil"/>
              <w:left w:val="nil"/>
              <w:bottom w:val="single" w:color="auto" w:sz="4" w:space="0"/>
              <w:right w:val="nil"/>
            </w:tcBorders>
            <w:vAlign w:val="center"/>
          </w:tcPr>
          <w:p>
            <w:pPr>
              <w:widowControl/>
              <w:jc w:val="center"/>
              <w:rPr>
                <w:rFonts w:ascii="宋体" w:hAnsi="宋体" w:cs="宋体"/>
                <w:color w:val="auto"/>
                <w:szCs w:val="21"/>
              </w:rPr>
            </w:pPr>
            <w:r>
              <w:rPr>
                <w:rFonts w:hint="eastAsia" w:ascii="宋体" w:hAnsi="宋体" w:cs="宋体"/>
                <w:color w:val="auto"/>
                <w:szCs w:val="21"/>
              </w:rPr>
              <w:t>限速器</w:t>
            </w:r>
          </w:p>
        </w:tc>
        <w:tc>
          <w:tcPr>
            <w:tcW w:w="374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p>
        </w:tc>
        <w:tc>
          <w:tcPr>
            <w:tcW w:w="1344" w:type="dxa"/>
            <w:tcBorders>
              <w:top w:val="nil"/>
              <w:left w:val="nil"/>
              <w:bottom w:val="single" w:color="auto" w:sz="4" w:space="0"/>
              <w:right w:val="thickThinSmallGap" w:color="auto" w:sz="24" w:space="0"/>
            </w:tcBorders>
            <w:vAlign w:val="center"/>
          </w:tcPr>
          <w:p>
            <w:pPr>
              <w:widowControl/>
              <w:jc w:val="center"/>
              <w:rPr>
                <w:rFonts w:ascii="宋体" w:hAnsi="宋体" w:cs="宋体"/>
                <w:color w:val="auto"/>
                <w:szCs w:val="21"/>
              </w:rPr>
            </w:pPr>
          </w:p>
        </w:tc>
      </w:tr>
      <w:tr>
        <w:tblPrEx>
          <w:tblCellMar>
            <w:top w:w="0" w:type="dxa"/>
            <w:left w:w="108" w:type="dxa"/>
            <w:bottom w:w="0" w:type="dxa"/>
            <w:right w:w="108" w:type="dxa"/>
          </w:tblCellMar>
        </w:tblPrEx>
        <w:trPr>
          <w:trHeight w:val="327" w:hRule="atLeast"/>
          <w:jc w:val="center"/>
        </w:trPr>
        <w:tc>
          <w:tcPr>
            <w:tcW w:w="9120" w:type="dxa"/>
            <w:gridSpan w:val="4"/>
            <w:tcBorders>
              <w:top w:val="single" w:color="auto" w:sz="4" w:space="0"/>
              <w:left w:val="thinThickSmallGap" w:color="auto" w:sz="24" w:space="0"/>
              <w:bottom w:val="single" w:color="auto" w:sz="4" w:space="0"/>
              <w:right w:val="thickThinSmallGap" w:color="auto" w:sz="24" w:space="0"/>
            </w:tcBorders>
            <w:vAlign w:val="center"/>
          </w:tcPr>
          <w:p>
            <w:pPr>
              <w:widowControl/>
              <w:jc w:val="left"/>
              <w:rPr>
                <w:rFonts w:ascii="宋体" w:hAnsi="宋体" w:cs="宋体"/>
                <w:b/>
                <w:bCs/>
                <w:color w:val="auto"/>
                <w:szCs w:val="21"/>
              </w:rPr>
            </w:pPr>
            <w:r>
              <w:rPr>
                <w:rFonts w:hint="eastAsia" w:ascii="宋体" w:hAnsi="宋体" w:cs="宋体"/>
                <w:b/>
                <w:bCs/>
                <w:color w:val="auto"/>
                <w:szCs w:val="21"/>
              </w:rPr>
              <w:t>其它部分</w:t>
            </w:r>
          </w:p>
        </w:tc>
      </w:tr>
      <w:tr>
        <w:tblPrEx>
          <w:tblCellMar>
            <w:top w:w="0" w:type="dxa"/>
            <w:left w:w="108" w:type="dxa"/>
            <w:bottom w:w="0" w:type="dxa"/>
            <w:right w:w="108" w:type="dxa"/>
          </w:tblCellMar>
        </w:tblPrEx>
        <w:trPr>
          <w:trHeight w:val="327" w:hRule="atLeast"/>
          <w:jc w:val="center"/>
        </w:trPr>
        <w:tc>
          <w:tcPr>
            <w:tcW w:w="912" w:type="dxa"/>
            <w:tcBorders>
              <w:top w:val="nil"/>
              <w:left w:val="thinThickSmallGap" w:color="auto" w:sz="2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26</w:t>
            </w:r>
          </w:p>
        </w:tc>
        <w:tc>
          <w:tcPr>
            <w:tcW w:w="3116" w:type="dxa"/>
            <w:tcBorders>
              <w:top w:val="nil"/>
              <w:left w:val="nil"/>
              <w:bottom w:val="single" w:color="auto" w:sz="4" w:space="0"/>
              <w:right w:val="nil"/>
            </w:tcBorders>
            <w:vAlign w:val="center"/>
          </w:tcPr>
          <w:p>
            <w:pPr>
              <w:widowControl/>
              <w:jc w:val="center"/>
              <w:rPr>
                <w:rFonts w:ascii="宋体" w:hAnsi="宋体" w:cs="宋体"/>
                <w:color w:val="auto"/>
                <w:szCs w:val="21"/>
              </w:rPr>
            </w:pPr>
            <w:r>
              <w:rPr>
                <w:rFonts w:hint="eastAsia" w:ascii="宋体" w:hAnsi="宋体" w:cs="宋体"/>
                <w:color w:val="auto"/>
                <w:szCs w:val="21"/>
              </w:rPr>
              <w:t>轿厢</w:t>
            </w:r>
          </w:p>
        </w:tc>
        <w:tc>
          <w:tcPr>
            <w:tcW w:w="374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p>
        </w:tc>
        <w:tc>
          <w:tcPr>
            <w:tcW w:w="1344" w:type="dxa"/>
            <w:tcBorders>
              <w:top w:val="nil"/>
              <w:left w:val="nil"/>
              <w:bottom w:val="single" w:color="auto" w:sz="4" w:space="0"/>
              <w:right w:val="thickThinSmallGap" w:color="auto" w:sz="24" w:space="0"/>
            </w:tcBorders>
            <w:vAlign w:val="center"/>
          </w:tcPr>
          <w:p>
            <w:pPr>
              <w:widowControl/>
              <w:jc w:val="center"/>
              <w:rPr>
                <w:rFonts w:ascii="宋体" w:hAnsi="宋体" w:cs="宋体"/>
                <w:color w:val="auto"/>
                <w:szCs w:val="21"/>
              </w:rPr>
            </w:pPr>
            <w:r>
              <w:rPr>
                <w:rFonts w:hint="eastAsia" w:ascii="宋体" w:hAnsi="宋体" w:cs="宋体"/>
                <w:color w:val="auto"/>
                <w:szCs w:val="21"/>
              </w:rPr>
              <w:t>　</w:t>
            </w:r>
          </w:p>
        </w:tc>
      </w:tr>
      <w:tr>
        <w:tblPrEx>
          <w:tblCellMar>
            <w:top w:w="0" w:type="dxa"/>
            <w:left w:w="108" w:type="dxa"/>
            <w:bottom w:w="0" w:type="dxa"/>
            <w:right w:w="108" w:type="dxa"/>
          </w:tblCellMar>
        </w:tblPrEx>
        <w:trPr>
          <w:trHeight w:val="327" w:hRule="atLeast"/>
          <w:jc w:val="center"/>
        </w:trPr>
        <w:tc>
          <w:tcPr>
            <w:tcW w:w="912" w:type="dxa"/>
            <w:tcBorders>
              <w:top w:val="nil"/>
              <w:left w:val="thinThickSmallGap" w:color="auto" w:sz="2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27</w:t>
            </w:r>
          </w:p>
        </w:tc>
        <w:tc>
          <w:tcPr>
            <w:tcW w:w="3116" w:type="dxa"/>
            <w:tcBorders>
              <w:top w:val="nil"/>
              <w:left w:val="nil"/>
              <w:bottom w:val="single" w:color="auto" w:sz="4" w:space="0"/>
              <w:right w:val="nil"/>
            </w:tcBorders>
            <w:vAlign w:val="center"/>
          </w:tcPr>
          <w:p>
            <w:pPr>
              <w:widowControl/>
              <w:jc w:val="center"/>
              <w:rPr>
                <w:rFonts w:ascii="宋体" w:hAnsi="宋体" w:cs="宋体"/>
                <w:color w:val="auto"/>
                <w:szCs w:val="21"/>
              </w:rPr>
            </w:pPr>
            <w:r>
              <w:rPr>
                <w:rFonts w:hint="eastAsia" w:ascii="宋体" w:hAnsi="宋体" w:cs="宋体"/>
                <w:color w:val="auto"/>
                <w:szCs w:val="21"/>
              </w:rPr>
              <w:t>门板、门套</w:t>
            </w:r>
          </w:p>
        </w:tc>
        <w:tc>
          <w:tcPr>
            <w:tcW w:w="374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p>
        </w:tc>
        <w:tc>
          <w:tcPr>
            <w:tcW w:w="1344" w:type="dxa"/>
            <w:tcBorders>
              <w:top w:val="nil"/>
              <w:left w:val="nil"/>
              <w:bottom w:val="single" w:color="auto" w:sz="4" w:space="0"/>
              <w:right w:val="thickThinSmallGap" w:color="auto" w:sz="24" w:space="0"/>
            </w:tcBorders>
            <w:vAlign w:val="center"/>
          </w:tcPr>
          <w:p>
            <w:pPr>
              <w:widowControl/>
              <w:jc w:val="center"/>
              <w:rPr>
                <w:rFonts w:ascii="宋体" w:hAnsi="宋体" w:cs="宋体"/>
                <w:color w:val="auto"/>
                <w:szCs w:val="21"/>
              </w:rPr>
            </w:pPr>
            <w:r>
              <w:rPr>
                <w:rFonts w:hint="eastAsia" w:ascii="宋体" w:hAnsi="宋体" w:cs="宋体"/>
                <w:color w:val="auto"/>
                <w:szCs w:val="21"/>
              </w:rPr>
              <w:t>　</w:t>
            </w:r>
          </w:p>
        </w:tc>
      </w:tr>
      <w:tr>
        <w:tblPrEx>
          <w:tblCellMar>
            <w:top w:w="0" w:type="dxa"/>
            <w:left w:w="108" w:type="dxa"/>
            <w:bottom w:w="0" w:type="dxa"/>
            <w:right w:w="108" w:type="dxa"/>
          </w:tblCellMar>
        </w:tblPrEx>
        <w:trPr>
          <w:trHeight w:val="327" w:hRule="atLeast"/>
          <w:jc w:val="center"/>
        </w:trPr>
        <w:tc>
          <w:tcPr>
            <w:tcW w:w="912" w:type="dxa"/>
            <w:tcBorders>
              <w:top w:val="nil"/>
              <w:left w:val="thinThickSmallGap" w:color="auto" w:sz="24" w:space="0"/>
              <w:bottom w:val="thickThinSmallGap" w:color="auto" w:sz="2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28</w:t>
            </w:r>
          </w:p>
        </w:tc>
        <w:tc>
          <w:tcPr>
            <w:tcW w:w="3116" w:type="dxa"/>
            <w:tcBorders>
              <w:top w:val="nil"/>
              <w:left w:val="nil"/>
              <w:bottom w:val="thickThinSmallGap" w:color="auto" w:sz="24" w:space="0"/>
              <w:right w:val="nil"/>
            </w:tcBorders>
            <w:vAlign w:val="center"/>
          </w:tcPr>
          <w:p>
            <w:pPr>
              <w:widowControl/>
              <w:jc w:val="center"/>
              <w:rPr>
                <w:rFonts w:ascii="宋体" w:hAnsi="宋体" w:cs="宋体"/>
                <w:color w:val="auto"/>
                <w:szCs w:val="21"/>
              </w:rPr>
            </w:pPr>
            <w:r>
              <w:rPr>
                <w:rFonts w:hint="eastAsia" w:ascii="宋体" w:hAnsi="宋体" w:cs="宋体"/>
                <w:color w:val="auto"/>
                <w:szCs w:val="21"/>
              </w:rPr>
              <w:t>曳引钢丝绳</w:t>
            </w:r>
          </w:p>
        </w:tc>
        <w:tc>
          <w:tcPr>
            <w:tcW w:w="3748" w:type="dxa"/>
            <w:tcBorders>
              <w:top w:val="nil"/>
              <w:left w:val="single" w:color="auto" w:sz="4" w:space="0"/>
              <w:bottom w:val="thickThinSmallGap" w:color="auto" w:sz="24" w:space="0"/>
              <w:right w:val="single" w:color="auto" w:sz="4" w:space="0"/>
            </w:tcBorders>
            <w:vAlign w:val="center"/>
          </w:tcPr>
          <w:p>
            <w:pPr>
              <w:widowControl/>
              <w:jc w:val="center"/>
              <w:rPr>
                <w:rFonts w:ascii="宋体" w:hAnsi="宋体" w:cs="宋体"/>
                <w:color w:val="auto"/>
                <w:szCs w:val="21"/>
              </w:rPr>
            </w:pPr>
          </w:p>
        </w:tc>
        <w:tc>
          <w:tcPr>
            <w:tcW w:w="1344" w:type="dxa"/>
            <w:tcBorders>
              <w:top w:val="nil"/>
              <w:left w:val="nil"/>
              <w:bottom w:val="thickThinSmallGap" w:color="auto" w:sz="24" w:space="0"/>
              <w:right w:val="thickThinSmallGap" w:color="auto" w:sz="24" w:space="0"/>
            </w:tcBorders>
            <w:vAlign w:val="center"/>
          </w:tcPr>
          <w:p>
            <w:pPr>
              <w:widowControl/>
              <w:jc w:val="center"/>
              <w:rPr>
                <w:rFonts w:ascii="宋体" w:hAnsi="宋体" w:cs="宋体"/>
                <w:color w:val="auto"/>
                <w:szCs w:val="21"/>
              </w:rPr>
            </w:pPr>
          </w:p>
        </w:tc>
      </w:tr>
    </w:tbl>
    <w:p>
      <w:pPr>
        <w:rPr>
          <w:rFonts w:ascii="黑体" w:hAnsi="黑体" w:eastAsia="黑体"/>
          <w:color w:val="auto"/>
        </w:rPr>
      </w:pPr>
    </w:p>
    <w:p>
      <w:pPr>
        <w:rPr>
          <w:rFonts w:ascii="宋体" w:hAnsi="宋体"/>
          <w:color w:val="auto"/>
          <w:sz w:val="22"/>
          <w:szCs w:val="22"/>
        </w:rPr>
      </w:pPr>
      <w:bookmarkStart w:id="6" w:name="_Toc6641_WPSOffice_Level1"/>
      <w:bookmarkStart w:id="7" w:name="_Toc5428"/>
    </w:p>
    <w:p>
      <w:pPr>
        <w:rPr>
          <w:rFonts w:ascii="宋体" w:hAnsi="宋体"/>
          <w:color w:val="auto"/>
          <w:sz w:val="22"/>
          <w:szCs w:val="22"/>
        </w:rPr>
      </w:pPr>
    </w:p>
    <w:p>
      <w:pPr>
        <w:rPr>
          <w:rFonts w:ascii="宋体" w:hAnsi="宋体"/>
          <w:color w:val="auto"/>
          <w:sz w:val="22"/>
          <w:szCs w:val="22"/>
        </w:rPr>
      </w:pPr>
    </w:p>
    <w:p>
      <w:pPr>
        <w:rPr>
          <w:rFonts w:ascii="宋体" w:hAnsi="宋体"/>
          <w:color w:val="auto"/>
          <w:sz w:val="22"/>
          <w:szCs w:val="22"/>
        </w:rPr>
      </w:pPr>
    </w:p>
    <w:p>
      <w:pPr>
        <w:rPr>
          <w:rFonts w:ascii="宋体" w:hAnsi="宋体"/>
          <w:color w:val="auto"/>
          <w:sz w:val="22"/>
          <w:szCs w:val="22"/>
        </w:rPr>
      </w:pPr>
    </w:p>
    <w:p>
      <w:pPr>
        <w:rPr>
          <w:rFonts w:ascii="宋体" w:hAnsi="宋体"/>
          <w:color w:val="auto"/>
          <w:sz w:val="22"/>
          <w:szCs w:val="22"/>
        </w:rPr>
      </w:pPr>
    </w:p>
    <w:p>
      <w:pPr>
        <w:rPr>
          <w:rFonts w:ascii="宋体" w:hAnsi="宋体"/>
          <w:color w:val="auto"/>
          <w:sz w:val="22"/>
          <w:szCs w:val="22"/>
        </w:rPr>
      </w:pPr>
    </w:p>
    <w:p>
      <w:pPr>
        <w:rPr>
          <w:rFonts w:ascii="宋体" w:hAnsi="宋体"/>
          <w:color w:val="auto"/>
          <w:sz w:val="22"/>
          <w:szCs w:val="22"/>
        </w:rPr>
      </w:pPr>
    </w:p>
    <w:p>
      <w:pPr>
        <w:pStyle w:val="9"/>
        <w:tabs>
          <w:tab w:val="left" w:pos="3652"/>
        </w:tabs>
        <w:spacing w:before="0" w:after="0"/>
        <w:ind w:firstLine="120" w:firstLineChars="50"/>
        <w:jc w:val="both"/>
        <w:rPr>
          <w:rFonts w:ascii="宋体" w:hAnsi="宋体"/>
          <w:b w:val="0"/>
          <w:bCs w:val="0"/>
          <w:color w:val="auto"/>
          <w:sz w:val="24"/>
          <w:szCs w:val="24"/>
        </w:rPr>
      </w:pPr>
      <w:r>
        <w:rPr>
          <w:rFonts w:hint="eastAsia" w:ascii="宋体" w:hAnsi="宋体"/>
          <w:b w:val="0"/>
          <w:bCs w:val="0"/>
          <w:color w:val="auto"/>
          <w:sz w:val="24"/>
          <w:szCs w:val="24"/>
        </w:rPr>
        <w:t>三、电梯主要功能</w:t>
      </w:r>
      <w:bookmarkEnd w:id="6"/>
      <w:bookmarkEnd w:id="7"/>
    </w:p>
    <w:tbl>
      <w:tblPr>
        <w:tblStyle w:val="10"/>
        <w:tblW w:w="9535" w:type="dxa"/>
        <w:jc w:val="center"/>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822"/>
        <w:gridCol w:w="764"/>
        <w:gridCol w:w="4215"/>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734" w:type="dxa"/>
            <w:shd w:val="pct10" w:color="auto" w:fill="auto"/>
          </w:tcPr>
          <w:p>
            <w:pPr>
              <w:spacing w:line="440" w:lineRule="atLeast"/>
              <w:jc w:val="center"/>
              <w:rPr>
                <w:rFonts w:ascii="宋体" w:hAnsi="宋体"/>
                <w:b/>
                <w:color w:val="auto"/>
                <w:sz w:val="24"/>
              </w:rPr>
            </w:pPr>
            <w:r>
              <w:rPr>
                <w:rFonts w:hint="eastAsia" w:ascii="宋体" w:hAnsi="宋体"/>
                <w:b/>
                <w:color w:val="auto"/>
                <w:sz w:val="24"/>
              </w:rPr>
              <w:t>序号</w:t>
            </w:r>
          </w:p>
        </w:tc>
        <w:tc>
          <w:tcPr>
            <w:tcW w:w="3822" w:type="dxa"/>
            <w:shd w:val="pct10" w:color="auto" w:fill="auto"/>
          </w:tcPr>
          <w:p>
            <w:pPr>
              <w:spacing w:line="440" w:lineRule="atLeast"/>
              <w:jc w:val="center"/>
              <w:rPr>
                <w:rFonts w:ascii="宋体" w:hAnsi="宋体"/>
                <w:b/>
                <w:color w:val="auto"/>
                <w:sz w:val="24"/>
              </w:rPr>
            </w:pPr>
            <w:r>
              <w:rPr>
                <w:rFonts w:hint="eastAsia" w:ascii="宋体" w:hAnsi="宋体"/>
                <w:b/>
                <w:color w:val="auto"/>
                <w:sz w:val="24"/>
              </w:rPr>
              <w:t>功 能 名 称</w:t>
            </w:r>
          </w:p>
        </w:tc>
        <w:tc>
          <w:tcPr>
            <w:tcW w:w="764" w:type="dxa"/>
            <w:shd w:val="pct10" w:color="auto" w:fill="auto"/>
          </w:tcPr>
          <w:p>
            <w:pPr>
              <w:spacing w:line="440" w:lineRule="atLeast"/>
              <w:jc w:val="center"/>
              <w:rPr>
                <w:rFonts w:ascii="宋体" w:hAnsi="宋体"/>
                <w:b/>
                <w:color w:val="auto"/>
                <w:sz w:val="24"/>
              </w:rPr>
            </w:pPr>
            <w:r>
              <w:rPr>
                <w:rFonts w:hint="eastAsia" w:ascii="宋体" w:hAnsi="宋体"/>
                <w:b/>
                <w:color w:val="auto"/>
                <w:sz w:val="24"/>
              </w:rPr>
              <w:t>序号</w:t>
            </w:r>
          </w:p>
        </w:tc>
        <w:tc>
          <w:tcPr>
            <w:tcW w:w="4215" w:type="dxa"/>
            <w:shd w:val="pct10" w:color="auto" w:fill="auto"/>
          </w:tcPr>
          <w:p>
            <w:pPr>
              <w:spacing w:line="440" w:lineRule="atLeast"/>
              <w:jc w:val="center"/>
              <w:rPr>
                <w:rFonts w:ascii="宋体" w:hAnsi="宋体"/>
                <w:b/>
                <w:color w:val="auto"/>
                <w:sz w:val="24"/>
              </w:rPr>
            </w:pPr>
            <w:r>
              <w:rPr>
                <w:rFonts w:hint="eastAsia" w:ascii="宋体" w:hAnsi="宋体"/>
                <w:b/>
                <w:color w:val="auto"/>
                <w:sz w:val="24"/>
              </w:rPr>
              <w:t>功 能 名 称</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734" w:type="dxa"/>
            <w:vAlign w:val="center"/>
          </w:tcPr>
          <w:p>
            <w:pPr>
              <w:jc w:val="center"/>
              <w:rPr>
                <w:rFonts w:ascii="宋体" w:hAnsi="宋体" w:cs="宋体"/>
                <w:color w:val="auto"/>
                <w:sz w:val="24"/>
              </w:rPr>
            </w:pPr>
            <w:r>
              <w:rPr>
                <w:rFonts w:hint="eastAsia" w:ascii="宋体" w:hAnsi="宋体"/>
                <w:color w:val="auto"/>
                <w:sz w:val="24"/>
              </w:rPr>
              <w:t>1</w:t>
            </w:r>
          </w:p>
        </w:tc>
        <w:tc>
          <w:tcPr>
            <w:tcW w:w="3822" w:type="dxa"/>
            <w:vAlign w:val="center"/>
          </w:tcPr>
          <w:p>
            <w:pPr>
              <w:rPr>
                <w:rFonts w:ascii="宋体" w:hAnsi="宋体" w:cs="宋体"/>
                <w:color w:val="auto"/>
                <w:sz w:val="24"/>
              </w:rPr>
            </w:pPr>
            <w:r>
              <w:rPr>
                <w:rFonts w:hint="eastAsia" w:ascii="宋体" w:hAnsi="宋体"/>
                <w:color w:val="auto"/>
                <w:sz w:val="24"/>
              </w:rPr>
              <w:t>集选控制功能</w:t>
            </w:r>
          </w:p>
        </w:tc>
        <w:tc>
          <w:tcPr>
            <w:tcW w:w="764" w:type="dxa"/>
            <w:vAlign w:val="center"/>
          </w:tcPr>
          <w:p>
            <w:pPr>
              <w:jc w:val="center"/>
              <w:rPr>
                <w:rFonts w:ascii="宋体" w:hAnsi="宋体" w:cs="宋体"/>
                <w:color w:val="auto"/>
                <w:sz w:val="24"/>
              </w:rPr>
            </w:pPr>
            <w:r>
              <w:rPr>
                <w:rFonts w:hint="eastAsia" w:ascii="宋体" w:hAnsi="宋体"/>
                <w:color w:val="auto"/>
                <w:sz w:val="24"/>
              </w:rPr>
              <w:t>19</w:t>
            </w:r>
          </w:p>
        </w:tc>
        <w:tc>
          <w:tcPr>
            <w:tcW w:w="4215" w:type="dxa"/>
            <w:vAlign w:val="center"/>
          </w:tcPr>
          <w:p>
            <w:pPr>
              <w:rPr>
                <w:rFonts w:ascii="宋体" w:hAnsi="宋体" w:cs="宋体"/>
                <w:color w:val="auto"/>
                <w:sz w:val="24"/>
              </w:rPr>
            </w:pPr>
            <w:r>
              <w:rPr>
                <w:rFonts w:hint="eastAsia" w:ascii="宋体" w:hAnsi="宋体"/>
                <w:color w:val="auto"/>
                <w:sz w:val="24"/>
              </w:rPr>
              <w:t xml:space="preserve">机房轿厢位置监察，位置指示及运行指示功能                                         </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1001" w:hRule="exact"/>
          <w:jc w:val="center"/>
        </w:trPr>
        <w:tc>
          <w:tcPr>
            <w:tcW w:w="734" w:type="dxa"/>
            <w:vAlign w:val="center"/>
          </w:tcPr>
          <w:p>
            <w:pPr>
              <w:jc w:val="center"/>
              <w:rPr>
                <w:rFonts w:ascii="宋体" w:hAnsi="宋体" w:cs="宋体"/>
                <w:color w:val="auto"/>
                <w:sz w:val="24"/>
              </w:rPr>
            </w:pPr>
            <w:r>
              <w:rPr>
                <w:rFonts w:hint="eastAsia" w:ascii="宋体" w:hAnsi="宋体"/>
                <w:color w:val="auto"/>
                <w:sz w:val="24"/>
              </w:rPr>
              <w:t>2</w:t>
            </w:r>
          </w:p>
        </w:tc>
        <w:tc>
          <w:tcPr>
            <w:tcW w:w="3822" w:type="dxa"/>
            <w:vAlign w:val="center"/>
          </w:tcPr>
          <w:p>
            <w:pPr>
              <w:rPr>
                <w:rFonts w:ascii="宋体" w:hAnsi="宋体" w:cs="宋体"/>
                <w:color w:val="auto"/>
                <w:sz w:val="24"/>
              </w:rPr>
            </w:pPr>
            <w:r>
              <w:rPr>
                <w:rFonts w:hint="eastAsia" w:ascii="宋体" w:hAnsi="宋体"/>
                <w:color w:val="auto"/>
                <w:sz w:val="24"/>
              </w:rPr>
              <w:t xml:space="preserve">检修操作保护功能 </w:t>
            </w:r>
          </w:p>
        </w:tc>
        <w:tc>
          <w:tcPr>
            <w:tcW w:w="764" w:type="dxa"/>
            <w:vAlign w:val="center"/>
          </w:tcPr>
          <w:p>
            <w:pPr>
              <w:jc w:val="center"/>
              <w:rPr>
                <w:rFonts w:ascii="宋体" w:hAnsi="宋体" w:cs="宋体"/>
                <w:color w:val="auto"/>
                <w:sz w:val="24"/>
              </w:rPr>
            </w:pPr>
            <w:r>
              <w:rPr>
                <w:rFonts w:hint="eastAsia" w:ascii="宋体" w:hAnsi="宋体"/>
                <w:color w:val="auto"/>
                <w:sz w:val="24"/>
              </w:rPr>
              <w:t>20</w:t>
            </w:r>
          </w:p>
        </w:tc>
        <w:tc>
          <w:tcPr>
            <w:tcW w:w="4215" w:type="dxa"/>
            <w:vAlign w:val="center"/>
          </w:tcPr>
          <w:p>
            <w:pPr>
              <w:rPr>
                <w:rFonts w:ascii="宋体" w:hAnsi="宋体" w:cs="宋体"/>
                <w:color w:val="auto"/>
                <w:sz w:val="24"/>
              </w:rPr>
            </w:pPr>
            <w:r>
              <w:rPr>
                <w:rFonts w:hint="eastAsia" w:ascii="宋体" w:hAnsi="宋体"/>
                <w:color w:val="auto"/>
                <w:sz w:val="24"/>
              </w:rPr>
              <w:t xml:space="preserve">重复关门保护功能 </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734" w:type="dxa"/>
            <w:vAlign w:val="center"/>
          </w:tcPr>
          <w:p>
            <w:pPr>
              <w:jc w:val="center"/>
              <w:rPr>
                <w:rFonts w:ascii="宋体" w:hAnsi="宋体" w:cs="宋体"/>
                <w:color w:val="auto"/>
                <w:sz w:val="24"/>
              </w:rPr>
            </w:pPr>
            <w:r>
              <w:rPr>
                <w:rFonts w:hint="eastAsia" w:ascii="宋体" w:hAnsi="宋体"/>
                <w:color w:val="auto"/>
                <w:sz w:val="24"/>
              </w:rPr>
              <w:t>3</w:t>
            </w:r>
          </w:p>
        </w:tc>
        <w:tc>
          <w:tcPr>
            <w:tcW w:w="3822" w:type="dxa"/>
            <w:vAlign w:val="center"/>
          </w:tcPr>
          <w:p>
            <w:pPr>
              <w:rPr>
                <w:rFonts w:ascii="宋体" w:hAnsi="宋体" w:cs="宋体"/>
                <w:color w:val="auto"/>
                <w:sz w:val="24"/>
              </w:rPr>
            </w:pPr>
            <w:r>
              <w:rPr>
                <w:rFonts w:hint="eastAsia" w:ascii="宋体" w:hAnsi="宋体"/>
                <w:color w:val="auto"/>
                <w:sz w:val="24"/>
              </w:rPr>
              <w:t xml:space="preserve">光幕防夹功能                  </w:t>
            </w:r>
          </w:p>
        </w:tc>
        <w:tc>
          <w:tcPr>
            <w:tcW w:w="764" w:type="dxa"/>
            <w:vAlign w:val="center"/>
          </w:tcPr>
          <w:p>
            <w:pPr>
              <w:jc w:val="center"/>
              <w:rPr>
                <w:rFonts w:ascii="宋体" w:hAnsi="宋体" w:cs="宋体"/>
                <w:color w:val="auto"/>
                <w:sz w:val="24"/>
              </w:rPr>
            </w:pPr>
            <w:r>
              <w:rPr>
                <w:rFonts w:hint="eastAsia" w:ascii="宋体" w:hAnsi="宋体"/>
                <w:color w:val="auto"/>
                <w:sz w:val="24"/>
              </w:rPr>
              <w:t>21</w:t>
            </w:r>
          </w:p>
        </w:tc>
        <w:tc>
          <w:tcPr>
            <w:tcW w:w="4215" w:type="dxa"/>
            <w:vAlign w:val="center"/>
          </w:tcPr>
          <w:p>
            <w:pPr>
              <w:rPr>
                <w:rFonts w:ascii="宋体" w:hAnsi="宋体" w:cs="宋体"/>
                <w:color w:val="auto"/>
                <w:sz w:val="24"/>
              </w:rPr>
            </w:pPr>
            <w:r>
              <w:rPr>
                <w:rFonts w:hint="eastAsia" w:ascii="宋体" w:hAnsi="宋体"/>
                <w:color w:val="auto"/>
                <w:sz w:val="24"/>
              </w:rPr>
              <w:t>按钮本层开门功能</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734" w:type="dxa"/>
            <w:vAlign w:val="center"/>
          </w:tcPr>
          <w:p>
            <w:pPr>
              <w:jc w:val="center"/>
              <w:rPr>
                <w:rFonts w:ascii="宋体" w:hAnsi="宋体" w:cs="宋体"/>
                <w:color w:val="auto"/>
                <w:sz w:val="24"/>
              </w:rPr>
            </w:pPr>
            <w:r>
              <w:rPr>
                <w:rFonts w:hint="eastAsia" w:ascii="宋体" w:hAnsi="宋体"/>
                <w:color w:val="auto"/>
                <w:sz w:val="24"/>
              </w:rPr>
              <w:t>4</w:t>
            </w:r>
          </w:p>
        </w:tc>
        <w:tc>
          <w:tcPr>
            <w:tcW w:w="3822" w:type="dxa"/>
            <w:vAlign w:val="center"/>
          </w:tcPr>
          <w:p>
            <w:pPr>
              <w:rPr>
                <w:rFonts w:ascii="宋体" w:hAnsi="宋体" w:cs="宋体"/>
                <w:color w:val="auto"/>
                <w:sz w:val="24"/>
              </w:rPr>
            </w:pPr>
            <w:r>
              <w:rPr>
                <w:rFonts w:hint="eastAsia" w:ascii="宋体" w:hAnsi="宋体"/>
                <w:color w:val="auto"/>
                <w:sz w:val="24"/>
              </w:rPr>
              <w:t>超载保护功能</w:t>
            </w:r>
          </w:p>
        </w:tc>
        <w:tc>
          <w:tcPr>
            <w:tcW w:w="764" w:type="dxa"/>
            <w:vAlign w:val="center"/>
          </w:tcPr>
          <w:p>
            <w:pPr>
              <w:jc w:val="center"/>
              <w:rPr>
                <w:rFonts w:ascii="宋体" w:hAnsi="宋体" w:cs="宋体"/>
                <w:color w:val="auto"/>
                <w:sz w:val="24"/>
              </w:rPr>
            </w:pPr>
            <w:r>
              <w:rPr>
                <w:rFonts w:hint="eastAsia" w:ascii="宋体" w:hAnsi="宋体"/>
                <w:color w:val="auto"/>
                <w:sz w:val="24"/>
              </w:rPr>
              <w:t>22</w:t>
            </w:r>
          </w:p>
        </w:tc>
        <w:tc>
          <w:tcPr>
            <w:tcW w:w="4215" w:type="dxa"/>
            <w:vAlign w:val="center"/>
          </w:tcPr>
          <w:p>
            <w:pPr>
              <w:rPr>
                <w:rFonts w:ascii="宋体" w:hAnsi="宋体" w:cs="宋体"/>
                <w:color w:val="auto"/>
                <w:sz w:val="24"/>
              </w:rPr>
            </w:pPr>
            <w:r>
              <w:rPr>
                <w:rFonts w:hint="eastAsia" w:ascii="宋体" w:hAnsi="宋体"/>
                <w:color w:val="auto"/>
                <w:sz w:val="24"/>
              </w:rPr>
              <w:t xml:space="preserve">有/无司机运行    </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734" w:type="dxa"/>
            <w:vAlign w:val="center"/>
          </w:tcPr>
          <w:p>
            <w:pPr>
              <w:jc w:val="center"/>
              <w:rPr>
                <w:rFonts w:ascii="宋体" w:hAnsi="宋体" w:cs="宋体"/>
                <w:color w:val="auto"/>
                <w:sz w:val="24"/>
              </w:rPr>
            </w:pPr>
            <w:r>
              <w:rPr>
                <w:rFonts w:hint="eastAsia" w:ascii="宋体" w:hAnsi="宋体"/>
                <w:color w:val="auto"/>
                <w:sz w:val="24"/>
              </w:rPr>
              <w:t>5</w:t>
            </w:r>
          </w:p>
        </w:tc>
        <w:tc>
          <w:tcPr>
            <w:tcW w:w="3822" w:type="dxa"/>
            <w:vAlign w:val="center"/>
          </w:tcPr>
          <w:p>
            <w:pPr>
              <w:rPr>
                <w:rFonts w:ascii="宋体" w:hAnsi="宋体" w:cs="宋体"/>
                <w:color w:val="auto"/>
                <w:sz w:val="24"/>
              </w:rPr>
            </w:pPr>
            <w:r>
              <w:rPr>
                <w:rFonts w:hint="eastAsia" w:ascii="宋体" w:hAnsi="宋体"/>
                <w:color w:val="auto"/>
                <w:sz w:val="24"/>
              </w:rPr>
              <w:t xml:space="preserve">上行超速保护功能    </w:t>
            </w:r>
          </w:p>
        </w:tc>
        <w:tc>
          <w:tcPr>
            <w:tcW w:w="764" w:type="dxa"/>
            <w:vAlign w:val="center"/>
          </w:tcPr>
          <w:p>
            <w:pPr>
              <w:jc w:val="center"/>
              <w:rPr>
                <w:rFonts w:ascii="宋体" w:hAnsi="宋体" w:cs="宋体"/>
                <w:color w:val="auto"/>
                <w:sz w:val="24"/>
              </w:rPr>
            </w:pPr>
            <w:r>
              <w:rPr>
                <w:rFonts w:hint="eastAsia" w:ascii="宋体" w:hAnsi="宋体"/>
                <w:color w:val="auto"/>
                <w:sz w:val="24"/>
              </w:rPr>
              <w:t>23</w:t>
            </w:r>
          </w:p>
        </w:tc>
        <w:tc>
          <w:tcPr>
            <w:tcW w:w="4215" w:type="dxa"/>
            <w:vAlign w:val="center"/>
          </w:tcPr>
          <w:p>
            <w:pPr>
              <w:rPr>
                <w:rFonts w:ascii="宋体" w:hAnsi="宋体" w:cs="宋体"/>
                <w:color w:val="auto"/>
                <w:sz w:val="24"/>
              </w:rPr>
            </w:pPr>
            <w:r>
              <w:rPr>
                <w:rFonts w:hint="eastAsia" w:ascii="宋体" w:hAnsi="宋体"/>
                <w:color w:val="auto"/>
                <w:sz w:val="24"/>
              </w:rPr>
              <w:t>主接触器防粘连停梯保护功能</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734" w:type="dxa"/>
            <w:vAlign w:val="center"/>
          </w:tcPr>
          <w:p>
            <w:pPr>
              <w:jc w:val="center"/>
              <w:rPr>
                <w:rFonts w:ascii="宋体" w:hAnsi="宋体" w:cs="宋体"/>
                <w:color w:val="auto"/>
                <w:sz w:val="24"/>
              </w:rPr>
            </w:pPr>
            <w:r>
              <w:rPr>
                <w:rFonts w:hint="eastAsia" w:ascii="宋体" w:hAnsi="宋体"/>
                <w:color w:val="auto"/>
                <w:sz w:val="24"/>
              </w:rPr>
              <w:t>6</w:t>
            </w:r>
          </w:p>
        </w:tc>
        <w:tc>
          <w:tcPr>
            <w:tcW w:w="3822" w:type="dxa"/>
            <w:vAlign w:val="center"/>
          </w:tcPr>
          <w:p>
            <w:pPr>
              <w:rPr>
                <w:rFonts w:ascii="宋体" w:hAnsi="宋体" w:cs="宋体"/>
                <w:color w:val="auto"/>
                <w:sz w:val="24"/>
              </w:rPr>
            </w:pPr>
            <w:r>
              <w:rPr>
                <w:rFonts w:hint="eastAsia" w:ascii="宋体" w:hAnsi="宋体"/>
                <w:color w:val="auto"/>
                <w:sz w:val="24"/>
              </w:rPr>
              <w:t xml:space="preserve">下行超速保护功能  </w:t>
            </w:r>
          </w:p>
        </w:tc>
        <w:tc>
          <w:tcPr>
            <w:tcW w:w="764" w:type="dxa"/>
            <w:vAlign w:val="center"/>
          </w:tcPr>
          <w:p>
            <w:pPr>
              <w:jc w:val="center"/>
              <w:rPr>
                <w:rFonts w:ascii="宋体" w:hAnsi="宋体" w:cs="宋体"/>
                <w:color w:val="auto"/>
                <w:sz w:val="24"/>
              </w:rPr>
            </w:pPr>
            <w:r>
              <w:rPr>
                <w:rFonts w:hint="eastAsia" w:ascii="宋体" w:hAnsi="宋体"/>
                <w:color w:val="auto"/>
                <w:sz w:val="24"/>
              </w:rPr>
              <w:t>24</w:t>
            </w:r>
          </w:p>
        </w:tc>
        <w:tc>
          <w:tcPr>
            <w:tcW w:w="4215" w:type="dxa"/>
            <w:vAlign w:val="center"/>
          </w:tcPr>
          <w:p>
            <w:pPr>
              <w:rPr>
                <w:rFonts w:ascii="宋体" w:hAnsi="宋体" w:cs="宋体"/>
                <w:color w:val="auto"/>
                <w:sz w:val="24"/>
              </w:rPr>
            </w:pPr>
            <w:r>
              <w:rPr>
                <w:rFonts w:hint="eastAsia" w:ascii="宋体" w:hAnsi="宋体"/>
                <w:color w:val="auto"/>
                <w:sz w:val="24"/>
              </w:rPr>
              <w:t>微机掉电数据保存保护功能</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734" w:type="dxa"/>
            <w:vAlign w:val="center"/>
          </w:tcPr>
          <w:p>
            <w:pPr>
              <w:jc w:val="center"/>
              <w:rPr>
                <w:rFonts w:ascii="宋体" w:hAnsi="宋体" w:cs="宋体"/>
                <w:color w:val="auto"/>
                <w:sz w:val="24"/>
              </w:rPr>
            </w:pPr>
            <w:r>
              <w:rPr>
                <w:rFonts w:hint="eastAsia" w:ascii="宋体" w:hAnsi="宋体"/>
                <w:color w:val="auto"/>
                <w:sz w:val="24"/>
              </w:rPr>
              <w:t>7</w:t>
            </w:r>
          </w:p>
        </w:tc>
        <w:tc>
          <w:tcPr>
            <w:tcW w:w="3822" w:type="dxa"/>
            <w:vAlign w:val="center"/>
          </w:tcPr>
          <w:p>
            <w:pPr>
              <w:rPr>
                <w:rFonts w:ascii="宋体" w:hAnsi="宋体" w:cs="宋体"/>
                <w:color w:val="auto"/>
                <w:sz w:val="24"/>
              </w:rPr>
            </w:pPr>
            <w:r>
              <w:rPr>
                <w:rFonts w:hint="eastAsia" w:ascii="宋体" w:hAnsi="宋体"/>
                <w:color w:val="auto"/>
                <w:sz w:val="24"/>
              </w:rPr>
              <w:t xml:space="preserve">停电轿厢应急照明功能  </w:t>
            </w:r>
          </w:p>
        </w:tc>
        <w:tc>
          <w:tcPr>
            <w:tcW w:w="764" w:type="dxa"/>
            <w:vAlign w:val="center"/>
          </w:tcPr>
          <w:p>
            <w:pPr>
              <w:jc w:val="center"/>
              <w:rPr>
                <w:rFonts w:ascii="宋体" w:hAnsi="宋体" w:cs="宋体"/>
                <w:color w:val="auto"/>
                <w:sz w:val="24"/>
              </w:rPr>
            </w:pPr>
            <w:r>
              <w:rPr>
                <w:rFonts w:hint="eastAsia" w:ascii="宋体" w:hAnsi="宋体"/>
                <w:color w:val="auto"/>
                <w:sz w:val="24"/>
              </w:rPr>
              <w:t>25</w:t>
            </w:r>
          </w:p>
        </w:tc>
        <w:tc>
          <w:tcPr>
            <w:tcW w:w="4215" w:type="dxa"/>
            <w:vAlign w:val="center"/>
          </w:tcPr>
          <w:p>
            <w:pPr>
              <w:rPr>
                <w:rFonts w:ascii="宋体" w:hAnsi="宋体" w:cs="宋体"/>
                <w:color w:val="auto"/>
                <w:sz w:val="24"/>
              </w:rPr>
            </w:pPr>
            <w:r>
              <w:rPr>
                <w:rFonts w:hint="eastAsia" w:ascii="宋体" w:hAnsi="宋体"/>
                <w:color w:val="auto"/>
                <w:sz w:val="24"/>
              </w:rPr>
              <w:t>底坑急停保护功能</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734" w:type="dxa"/>
            <w:vAlign w:val="center"/>
          </w:tcPr>
          <w:p>
            <w:pPr>
              <w:jc w:val="center"/>
              <w:rPr>
                <w:rFonts w:ascii="宋体" w:hAnsi="宋体" w:cs="宋体"/>
                <w:color w:val="auto"/>
                <w:sz w:val="24"/>
              </w:rPr>
            </w:pPr>
            <w:r>
              <w:rPr>
                <w:rFonts w:hint="eastAsia" w:ascii="宋体" w:hAnsi="宋体"/>
                <w:color w:val="auto"/>
                <w:sz w:val="24"/>
              </w:rPr>
              <w:t>8</w:t>
            </w:r>
          </w:p>
        </w:tc>
        <w:tc>
          <w:tcPr>
            <w:tcW w:w="3822" w:type="dxa"/>
            <w:vAlign w:val="center"/>
          </w:tcPr>
          <w:p>
            <w:pPr>
              <w:rPr>
                <w:rFonts w:ascii="宋体" w:hAnsi="宋体"/>
                <w:color w:val="auto"/>
                <w:sz w:val="24"/>
              </w:rPr>
            </w:pPr>
            <w:r>
              <w:rPr>
                <w:rFonts w:hint="eastAsia" w:ascii="宋体" w:hAnsi="宋体"/>
                <w:color w:val="auto"/>
                <w:sz w:val="24"/>
              </w:rPr>
              <w:t xml:space="preserve">井道数据自学习功能  </w:t>
            </w:r>
          </w:p>
        </w:tc>
        <w:tc>
          <w:tcPr>
            <w:tcW w:w="764" w:type="dxa"/>
            <w:vAlign w:val="center"/>
          </w:tcPr>
          <w:p>
            <w:pPr>
              <w:jc w:val="center"/>
              <w:rPr>
                <w:rFonts w:ascii="宋体" w:hAnsi="宋体" w:cs="宋体"/>
                <w:color w:val="auto"/>
                <w:sz w:val="24"/>
              </w:rPr>
            </w:pPr>
            <w:r>
              <w:rPr>
                <w:rFonts w:hint="eastAsia" w:ascii="宋体" w:hAnsi="宋体"/>
                <w:color w:val="auto"/>
                <w:sz w:val="24"/>
              </w:rPr>
              <w:t>26</w:t>
            </w:r>
          </w:p>
        </w:tc>
        <w:tc>
          <w:tcPr>
            <w:tcW w:w="4215" w:type="dxa"/>
            <w:vAlign w:val="center"/>
          </w:tcPr>
          <w:p>
            <w:pPr>
              <w:rPr>
                <w:rFonts w:ascii="宋体" w:hAnsi="宋体" w:cs="宋体"/>
                <w:color w:val="auto"/>
                <w:sz w:val="24"/>
              </w:rPr>
            </w:pPr>
            <w:r>
              <w:rPr>
                <w:rFonts w:hint="eastAsia" w:ascii="宋体" w:hAnsi="宋体"/>
                <w:color w:val="auto"/>
                <w:sz w:val="24"/>
              </w:rPr>
              <w:t>强闭门保护功能</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734" w:type="dxa"/>
            <w:vAlign w:val="center"/>
          </w:tcPr>
          <w:p>
            <w:pPr>
              <w:jc w:val="center"/>
              <w:rPr>
                <w:rFonts w:ascii="宋体" w:hAnsi="宋体" w:cs="宋体"/>
                <w:color w:val="auto"/>
                <w:sz w:val="24"/>
              </w:rPr>
            </w:pPr>
            <w:r>
              <w:rPr>
                <w:rFonts w:hint="eastAsia" w:ascii="宋体" w:hAnsi="宋体"/>
                <w:color w:val="auto"/>
                <w:sz w:val="24"/>
              </w:rPr>
              <w:t>9</w:t>
            </w:r>
          </w:p>
        </w:tc>
        <w:tc>
          <w:tcPr>
            <w:tcW w:w="3822" w:type="dxa"/>
            <w:vAlign w:val="center"/>
          </w:tcPr>
          <w:p>
            <w:pPr>
              <w:rPr>
                <w:rFonts w:ascii="宋体" w:hAnsi="宋体" w:cs="宋体"/>
                <w:color w:val="auto"/>
                <w:sz w:val="24"/>
              </w:rPr>
            </w:pPr>
            <w:r>
              <w:rPr>
                <w:rFonts w:hint="eastAsia" w:ascii="宋体" w:hAnsi="宋体"/>
                <w:color w:val="auto"/>
                <w:sz w:val="24"/>
              </w:rPr>
              <w:t>五方对讲机通讯功能（机房到值班室通讯线由用户负责）</w:t>
            </w:r>
          </w:p>
        </w:tc>
        <w:tc>
          <w:tcPr>
            <w:tcW w:w="764" w:type="dxa"/>
            <w:vAlign w:val="center"/>
          </w:tcPr>
          <w:p>
            <w:pPr>
              <w:jc w:val="center"/>
              <w:rPr>
                <w:rFonts w:ascii="宋体" w:hAnsi="宋体" w:cs="宋体"/>
                <w:color w:val="auto"/>
                <w:sz w:val="24"/>
              </w:rPr>
            </w:pPr>
            <w:r>
              <w:rPr>
                <w:rFonts w:hint="eastAsia" w:ascii="宋体" w:hAnsi="宋体"/>
                <w:color w:val="auto"/>
                <w:sz w:val="24"/>
              </w:rPr>
              <w:t>27</w:t>
            </w:r>
          </w:p>
        </w:tc>
        <w:tc>
          <w:tcPr>
            <w:tcW w:w="4215" w:type="dxa"/>
            <w:vAlign w:val="center"/>
          </w:tcPr>
          <w:p>
            <w:pPr>
              <w:rPr>
                <w:rFonts w:ascii="宋体" w:hAnsi="宋体" w:cs="宋体"/>
                <w:color w:val="auto"/>
                <w:sz w:val="24"/>
              </w:rPr>
            </w:pPr>
            <w:r>
              <w:rPr>
                <w:rFonts w:hint="eastAsia" w:ascii="宋体" w:hAnsi="宋体"/>
                <w:color w:val="auto"/>
                <w:sz w:val="24"/>
              </w:rPr>
              <w:t>断绳保护功能</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734" w:type="dxa"/>
            <w:vAlign w:val="center"/>
          </w:tcPr>
          <w:p>
            <w:pPr>
              <w:jc w:val="center"/>
              <w:rPr>
                <w:rFonts w:ascii="宋体" w:hAnsi="宋体" w:cs="宋体"/>
                <w:color w:val="auto"/>
                <w:sz w:val="24"/>
              </w:rPr>
            </w:pPr>
            <w:r>
              <w:rPr>
                <w:rFonts w:hint="eastAsia" w:ascii="宋体" w:hAnsi="宋体"/>
                <w:color w:val="auto"/>
                <w:sz w:val="24"/>
              </w:rPr>
              <w:t>10</w:t>
            </w:r>
          </w:p>
        </w:tc>
        <w:tc>
          <w:tcPr>
            <w:tcW w:w="3822" w:type="dxa"/>
            <w:vAlign w:val="center"/>
          </w:tcPr>
          <w:p>
            <w:pPr>
              <w:rPr>
                <w:rFonts w:ascii="宋体" w:hAnsi="宋体" w:cs="宋体"/>
                <w:color w:val="auto"/>
                <w:sz w:val="24"/>
              </w:rPr>
            </w:pPr>
            <w:r>
              <w:rPr>
                <w:rFonts w:hint="eastAsia" w:ascii="宋体" w:hAnsi="宋体"/>
                <w:color w:val="auto"/>
                <w:sz w:val="24"/>
              </w:rPr>
              <w:t>非门区停梯上电再平层功能</w:t>
            </w:r>
          </w:p>
        </w:tc>
        <w:tc>
          <w:tcPr>
            <w:tcW w:w="764" w:type="dxa"/>
            <w:vAlign w:val="center"/>
          </w:tcPr>
          <w:p>
            <w:pPr>
              <w:jc w:val="center"/>
              <w:rPr>
                <w:rFonts w:ascii="宋体" w:hAnsi="宋体" w:cs="宋体"/>
                <w:color w:val="auto"/>
                <w:sz w:val="24"/>
              </w:rPr>
            </w:pPr>
            <w:r>
              <w:rPr>
                <w:rFonts w:hint="eastAsia" w:ascii="宋体" w:hAnsi="宋体"/>
                <w:color w:val="auto"/>
                <w:sz w:val="24"/>
              </w:rPr>
              <w:t>28</w:t>
            </w:r>
          </w:p>
        </w:tc>
        <w:tc>
          <w:tcPr>
            <w:tcW w:w="4215" w:type="dxa"/>
            <w:vAlign w:val="center"/>
          </w:tcPr>
          <w:p>
            <w:pPr>
              <w:rPr>
                <w:rFonts w:ascii="宋体" w:hAnsi="宋体" w:cs="宋体"/>
                <w:color w:val="auto"/>
                <w:sz w:val="24"/>
              </w:rPr>
            </w:pPr>
            <w:r>
              <w:rPr>
                <w:rFonts w:hint="eastAsia" w:ascii="宋体" w:hAnsi="宋体"/>
                <w:color w:val="auto"/>
                <w:sz w:val="24"/>
              </w:rPr>
              <w:t>门机自保护功能</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734" w:type="dxa"/>
            <w:vAlign w:val="center"/>
          </w:tcPr>
          <w:p>
            <w:pPr>
              <w:jc w:val="center"/>
              <w:rPr>
                <w:rFonts w:ascii="宋体" w:hAnsi="宋体" w:cs="宋体"/>
                <w:color w:val="auto"/>
                <w:sz w:val="24"/>
              </w:rPr>
            </w:pPr>
            <w:r>
              <w:rPr>
                <w:rFonts w:hint="eastAsia" w:ascii="宋体" w:hAnsi="宋体"/>
                <w:color w:val="auto"/>
                <w:sz w:val="24"/>
              </w:rPr>
              <w:t>11</w:t>
            </w:r>
          </w:p>
        </w:tc>
        <w:tc>
          <w:tcPr>
            <w:tcW w:w="3822" w:type="dxa"/>
            <w:vAlign w:val="center"/>
          </w:tcPr>
          <w:p>
            <w:pPr>
              <w:rPr>
                <w:rFonts w:ascii="宋体" w:hAnsi="宋体" w:cs="宋体"/>
                <w:color w:val="auto"/>
                <w:sz w:val="24"/>
              </w:rPr>
            </w:pPr>
            <w:r>
              <w:rPr>
                <w:rFonts w:hint="eastAsia" w:ascii="宋体" w:hAnsi="宋体"/>
                <w:color w:val="auto"/>
                <w:sz w:val="24"/>
              </w:rPr>
              <w:t>到站钟到提示功能</w:t>
            </w:r>
          </w:p>
        </w:tc>
        <w:tc>
          <w:tcPr>
            <w:tcW w:w="764" w:type="dxa"/>
            <w:vAlign w:val="center"/>
          </w:tcPr>
          <w:p>
            <w:pPr>
              <w:jc w:val="center"/>
              <w:rPr>
                <w:rFonts w:ascii="宋体" w:hAnsi="宋体" w:cs="宋体"/>
                <w:color w:val="auto"/>
                <w:sz w:val="24"/>
              </w:rPr>
            </w:pPr>
            <w:r>
              <w:rPr>
                <w:rFonts w:hint="eastAsia" w:ascii="宋体" w:hAnsi="宋体"/>
                <w:color w:val="auto"/>
                <w:sz w:val="24"/>
              </w:rPr>
              <w:t>29</w:t>
            </w:r>
          </w:p>
        </w:tc>
        <w:tc>
          <w:tcPr>
            <w:tcW w:w="4215" w:type="dxa"/>
            <w:vAlign w:val="center"/>
          </w:tcPr>
          <w:p>
            <w:pPr>
              <w:rPr>
                <w:rFonts w:ascii="宋体" w:hAnsi="宋体" w:cs="宋体"/>
                <w:color w:val="auto"/>
                <w:sz w:val="24"/>
              </w:rPr>
            </w:pPr>
            <w:r>
              <w:rPr>
                <w:rFonts w:hint="eastAsia" w:ascii="宋体" w:hAnsi="宋体"/>
                <w:color w:val="auto"/>
                <w:sz w:val="24"/>
              </w:rPr>
              <w:t>轿厢位置数据误差层层校正功能</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734" w:type="dxa"/>
            <w:vAlign w:val="center"/>
          </w:tcPr>
          <w:p>
            <w:pPr>
              <w:jc w:val="center"/>
              <w:rPr>
                <w:rFonts w:ascii="宋体" w:hAnsi="宋体" w:cs="宋体"/>
                <w:color w:val="auto"/>
                <w:sz w:val="24"/>
              </w:rPr>
            </w:pPr>
            <w:r>
              <w:rPr>
                <w:rFonts w:hint="eastAsia" w:ascii="宋体" w:hAnsi="宋体"/>
                <w:color w:val="auto"/>
                <w:sz w:val="24"/>
              </w:rPr>
              <w:t>12</w:t>
            </w:r>
          </w:p>
        </w:tc>
        <w:tc>
          <w:tcPr>
            <w:tcW w:w="3822" w:type="dxa"/>
            <w:vAlign w:val="center"/>
          </w:tcPr>
          <w:p>
            <w:pPr>
              <w:rPr>
                <w:rFonts w:ascii="宋体" w:hAnsi="宋体" w:cs="宋体"/>
                <w:color w:val="auto"/>
                <w:sz w:val="24"/>
              </w:rPr>
            </w:pPr>
            <w:r>
              <w:rPr>
                <w:rFonts w:hint="eastAsia" w:ascii="宋体" w:hAnsi="宋体"/>
                <w:color w:val="auto"/>
                <w:sz w:val="24"/>
              </w:rPr>
              <w:t>消防迫降功能</w:t>
            </w:r>
          </w:p>
        </w:tc>
        <w:tc>
          <w:tcPr>
            <w:tcW w:w="764" w:type="dxa"/>
            <w:vAlign w:val="center"/>
          </w:tcPr>
          <w:p>
            <w:pPr>
              <w:jc w:val="center"/>
              <w:rPr>
                <w:rFonts w:ascii="宋体" w:hAnsi="宋体" w:cs="宋体"/>
                <w:color w:val="auto"/>
                <w:sz w:val="24"/>
              </w:rPr>
            </w:pPr>
            <w:r>
              <w:rPr>
                <w:rFonts w:hint="eastAsia" w:ascii="宋体" w:hAnsi="宋体"/>
                <w:color w:val="auto"/>
                <w:sz w:val="24"/>
              </w:rPr>
              <w:t>30</w:t>
            </w:r>
          </w:p>
        </w:tc>
        <w:tc>
          <w:tcPr>
            <w:tcW w:w="4215" w:type="dxa"/>
            <w:vAlign w:val="center"/>
          </w:tcPr>
          <w:p>
            <w:pPr>
              <w:rPr>
                <w:rFonts w:ascii="宋体" w:hAnsi="宋体" w:cs="宋体"/>
                <w:color w:val="auto"/>
                <w:sz w:val="24"/>
              </w:rPr>
            </w:pPr>
            <w:r>
              <w:rPr>
                <w:rFonts w:hint="eastAsia" w:ascii="宋体" w:hAnsi="宋体"/>
                <w:color w:val="auto"/>
                <w:sz w:val="24"/>
              </w:rPr>
              <w:t>非平层区不开门保护功能</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734" w:type="dxa"/>
            <w:vAlign w:val="center"/>
          </w:tcPr>
          <w:p>
            <w:pPr>
              <w:jc w:val="center"/>
              <w:rPr>
                <w:rFonts w:ascii="宋体" w:hAnsi="宋体" w:cs="宋体"/>
                <w:color w:val="auto"/>
                <w:sz w:val="24"/>
              </w:rPr>
            </w:pPr>
            <w:r>
              <w:rPr>
                <w:rFonts w:hint="eastAsia" w:ascii="宋体" w:hAnsi="宋体"/>
                <w:color w:val="auto"/>
                <w:sz w:val="24"/>
              </w:rPr>
              <w:t>13</w:t>
            </w:r>
          </w:p>
        </w:tc>
        <w:tc>
          <w:tcPr>
            <w:tcW w:w="3822" w:type="dxa"/>
            <w:vAlign w:val="center"/>
          </w:tcPr>
          <w:p>
            <w:pPr>
              <w:rPr>
                <w:rFonts w:ascii="宋体" w:hAnsi="宋体" w:cs="宋体"/>
                <w:color w:val="auto"/>
                <w:sz w:val="24"/>
              </w:rPr>
            </w:pPr>
            <w:r>
              <w:rPr>
                <w:rFonts w:hint="eastAsia" w:ascii="宋体" w:hAnsi="宋体"/>
                <w:color w:val="auto"/>
                <w:sz w:val="24"/>
              </w:rPr>
              <w:t>微机故障显示功能</w:t>
            </w:r>
          </w:p>
        </w:tc>
        <w:tc>
          <w:tcPr>
            <w:tcW w:w="764" w:type="dxa"/>
            <w:vAlign w:val="center"/>
          </w:tcPr>
          <w:p>
            <w:pPr>
              <w:jc w:val="center"/>
              <w:rPr>
                <w:rFonts w:ascii="宋体" w:hAnsi="宋体" w:cs="宋体"/>
                <w:color w:val="auto"/>
                <w:sz w:val="24"/>
              </w:rPr>
            </w:pPr>
            <w:r>
              <w:rPr>
                <w:rFonts w:hint="eastAsia" w:ascii="宋体" w:hAnsi="宋体"/>
                <w:color w:val="auto"/>
                <w:sz w:val="24"/>
              </w:rPr>
              <w:t>31</w:t>
            </w:r>
          </w:p>
        </w:tc>
        <w:tc>
          <w:tcPr>
            <w:tcW w:w="4215" w:type="dxa"/>
            <w:vAlign w:val="center"/>
          </w:tcPr>
          <w:p>
            <w:pPr>
              <w:rPr>
                <w:rFonts w:ascii="宋体" w:hAnsi="宋体" w:cs="宋体"/>
                <w:color w:val="auto"/>
                <w:sz w:val="24"/>
              </w:rPr>
            </w:pPr>
            <w:r>
              <w:rPr>
                <w:rFonts w:hint="eastAsia" w:ascii="宋体" w:hAnsi="宋体"/>
                <w:color w:val="auto"/>
                <w:sz w:val="24"/>
              </w:rPr>
              <w:t>永磁曳引机封星功能</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734" w:type="dxa"/>
            <w:vAlign w:val="center"/>
          </w:tcPr>
          <w:p>
            <w:pPr>
              <w:jc w:val="center"/>
              <w:rPr>
                <w:rFonts w:ascii="宋体" w:hAnsi="宋体" w:cs="宋体"/>
                <w:color w:val="auto"/>
                <w:sz w:val="24"/>
              </w:rPr>
            </w:pPr>
            <w:r>
              <w:rPr>
                <w:rFonts w:hint="eastAsia" w:ascii="宋体" w:hAnsi="宋体"/>
                <w:color w:val="auto"/>
                <w:sz w:val="24"/>
              </w:rPr>
              <w:t>14</w:t>
            </w:r>
          </w:p>
        </w:tc>
        <w:tc>
          <w:tcPr>
            <w:tcW w:w="3822" w:type="dxa"/>
            <w:vAlign w:val="center"/>
          </w:tcPr>
          <w:p>
            <w:pPr>
              <w:rPr>
                <w:rFonts w:ascii="宋体" w:hAnsi="宋体" w:cs="宋体"/>
                <w:color w:val="auto"/>
                <w:sz w:val="24"/>
              </w:rPr>
            </w:pPr>
            <w:r>
              <w:rPr>
                <w:rFonts w:hint="eastAsia" w:ascii="宋体" w:hAnsi="宋体"/>
                <w:color w:val="auto"/>
                <w:sz w:val="24"/>
              </w:rPr>
              <w:t xml:space="preserve">无响应时电梯即时关门待梯功能 </w:t>
            </w:r>
          </w:p>
        </w:tc>
        <w:tc>
          <w:tcPr>
            <w:tcW w:w="764" w:type="dxa"/>
            <w:vAlign w:val="center"/>
          </w:tcPr>
          <w:p>
            <w:pPr>
              <w:jc w:val="center"/>
              <w:rPr>
                <w:rFonts w:ascii="宋体" w:hAnsi="宋体" w:cs="宋体"/>
                <w:color w:val="auto"/>
                <w:sz w:val="24"/>
              </w:rPr>
            </w:pPr>
            <w:r>
              <w:rPr>
                <w:rFonts w:hint="eastAsia" w:ascii="宋体" w:hAnsi="宋体"/>
                <w:color w:val="auto"/>
                <w:sz w:val="24"/>
              </w:rPr>
              <w:t>32</w:t>
            </w:r>
          </w:p>
        </w:tc>
        <w:tc>
          <w:tcPr>
            <w:tcW w:w="4215" w:type="dxa"/>
            <w:vAlign w:val="center"/>
          </w:tcPr>
          <w:p>
            <w:pPr>
              <w:rPr>
                <w:rFonts w:ascii="宋体" w:hAnsi="宋体" w:cs="宋体"/>
                <w:color w:val="auto"/>
                <w:sz w:val="24"/>
              </w:rPr>
            </w:pPr>
            <w:r>
              <w:rPr>
                <w:rFonts w:hint="eastAsia" w:ascii="宋体" w:hAnsi="宋体"/>
                <w:color w:val="auto"/>
                <w:sz w:val="24"/>
              </w:rPr>
              <w:t>制动器开关检测功能</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734" w:type="dxa"/>
            <w:vAlign w:val="center"/>
          </w:tcPr>
          <w:p>
            <w:pPr>
              <w:jc w:val="center"/>
              <w:rPr>
                <w:rFonts w:ascii="宋体" w:hAnsi="宋体" w:cs="宋体"/>
                <w:color w:val="auto"/>
                <w:sz w:val="24"/>
              </w:rPr>
            </w:pPr>
            <w:r>
              <w:rPr>
                <w:rFonts w:hint="eastAsia" w:ascii="宋体" w:hAnsi="宋体"/>
                <w:color w:val="auto"/>
                <w:sz w:val="24"/>
              </w:rPr>
              <w:t>15</w:t>
            </w:r>
          </w:p>
        </w:tc>
        <w:tc>
          <w:tcPr>
            <w:tcW w:w="3822" w:type="dxa"/>
            <w:vAlign w:val="center"/>
          </w:tcPr>
          <w:p>
            <w:pPr>
              <w:rPr>
                <w:rFonts w:ascii="宋体" w:hAnsi="宋体"/>
                <w:color w:val="auto"/>
                <w:sz w:val="24"/>
              </w:rPr>
            </w:pPr>
            <w:r>
              <w:rPr>
                <w:rFonts w:hint="eastAsia" w:ascii="宋体" w:hAnsi="宋体"/>
                <w:color w:val="auto"/>
                <w:sz w:val="24"/>
              </w:rPr>
              <w:t>层站轿厢位置显示、运行指示功能</w:t>
            </w:r>
          </w:p>
        </w:tc>
        <w:tc>
          <w:tcPr>
            <w:tcW w:w="764" w:type="dxa"/>
            <w:vAlign w:val="center"/>
          </w:tcPr>
          <w:p>
            <w:pPr>
              <w:jc w:val="center"/>
              <w:rPr>
                <w:rFonts w:ascii="宋体" w:hAnsi="宋体" w:cs="宋体"/>
                <w:color w:val="auto"/>
                <w:sz w:val="24"/>
              </w:rPr>
            </w:pPr>
            <w:r>
              <w:rPr>
                <w:rFonts w:hint="eastAsia" w:ascii="宋体" w:hAnsi="宋体"/>
                <w:color w:val="auto"/>
                <w:sz w:val="24"/>
              </w:rPr>
              <w:t>33</w:t>
            </w:r>
          </w:p>
        </w:tc>
        <w:tc>
          <w:tcPr>
            <w:tcW w:w="4215" w:type="dxa"/>
            <w:vAlign w:val="center"/>
          </w:tcPr>
          <w:p>
            <w:pPr>
              <w:rPr>
                <w:rFonts w:ascii="宋体" w:hAnsi="宋体" w:cs="宋体"/>
                <w:color w:val="auto"/>
                <w:sz w:val="24"/>
              </w:rPr>
            </w:pPr>
            <w:r>
              <w:rPr>
                <w:rFonts w:hint="eastAsia" w:ascii="宋体" w:hAnsi="宋体"/>
                <w:color w:val="auto"/>
                <w:sz w:val="24"/>
              </w:rPr>
              <w:t>照明、</w:t>
            </w:r>
            <w:r>
              <w:rPr>
                <w:rFonts w:ascii="宋体" w:hAnsi="宋体"/>
                <w:color w:val="auto"/>
                <w:sz w:val="24"/>
              </w:rPr>
              <w:t>风扇</w:t>
            </w:r>
            <w:r>
              <w:rPr>
                <w:rFonts w:hint="eastAsia" w:ascii="宋体" w:hAnsi="宋体"/>
                <w:color w:val="auto"/>
                <w:sz w:val="24"/>
              </w:rPr>
              <w:t>自动控制功能</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734" w:type="dxa"/>
            <w:vAlign w:val="center"/>
          </w:tcPr>
          <w:p>
            <w:pPr>
              <w:jc w:val="center"/>
              <w:rPr>
                <w:rFonts w:ascii="宋体" w:hAnsi="宋体" w:cs="宋体"/>
                <w:color w:val="auto"/>
                <w:sz w:val="24"/>
              </w:rPr>
            </w:pPr>
            <w:r>
              <w:rPr>
                <w:rFonts w:hint="eastAsia" w:ascii="宋体" w:hAnsi="宋体"/>
                <w:color w:val="auto"/>
                <w:sz w:val="24"/>
              </w:rPr>
              <w:t>16</w:t>
            </w:r>
          </w:p>
        </w:tc>
        <w:tc>
          <w:tcPr>
            <w:tcW w:w="3822" w:type="dxa"/>
            <w:vAlign w:val="center"/>
          </w:tcPr>
          <w:p>
            <w:pPr>
              <w:rPr>
                <w:rFonts w:ascii="宋体" w:hAnsi="宋体"/>
                <w:color w:val="auto"/>
                <w:sz w:val="24"/>
              </w:rPr>
            </w:pPr>
            <w:r>
              <w:rPr>
                <w:rFonts w:hint="eastAsia" w:ascii="宋体" w:hAnsi="宋体"/>
                <w:color w:val="auto"/>
                <w:sz w:val="24"/>
              </w:rPr>
              <w:t>端站安全限位保护功能</w:t>
            </w:r>
          </w:p>
        </w:tc>
        <w:tc>
          <w:tcPr>
            <w:tcW w:w="764" w:type="dxa"/>
            <w:vAlign w:val="center"/>
          </w:tcPr>
          <w:p>
            <w:pPr>
              <w:jc w:val="center"/>
              <w:rPr>
                <w:rFonts w:ascii="宋体" w:hAnsi="宋体" w:cs="宋体"/>
                <w:color w:val="auto"/>
                <w:sz w:val="24"/>
              </w:rPr>
            </w:pPr>
            <w:r>
              <w:rPr>
                <w:rFonts w:hint="eastAsia" w:ascii="宋体" w:hAnsi="宋体"/>
                <w:color w:val="auto"/>
                <w:sz w:val="24"/>
              </w:rPr>
              <w:t>34</w:t>
            </w:r>
          </w:p>
        </w:tc>
        <w:tc>
          <w:tcPr>
            <w:tcW w:w="4215" w:type="dxa"/>
            <w:vAlign w:val="center"/>
          </w:tcPr>
          <w:p>
            <w:pPr>
              <w:rPr>
                <w:rFonts w:ascii="宋体" w:hAnsi="宋体" w:cs="宋体"/>
                <w:color w:val="auto"/>
                <w:sz w:val="24"/>
              </w:rPr>
            </w:pPr>
            <w:r>
              <w:rPr>
                <w:rFonts w:hint="eastAsia" w:ascii="宋体" w:hAnsi="宋体"/>
                <w:color w:val="auto"/>
                <w:sz w:val="24"/>
              </w:rPr>
              <w:t>驻停功能</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734" w:type="dxa"/>
            <w:vAlign w:val="center"/>
          </w:tcPr>
          <w:p>
            <w:pPr>
              <w:jc w:val="center"/>
              <w:rPr>
                <w:rFonts w:ascii="宋体" w:hAnsi="宋体" w:cs="宋体"/>
                <w:color w:val="auto"/>
                <w:sz w:val="24"/>
              </w:rPr>
            </w:pPr>
            <w:r>
              <w:rPr>
                <w:rFonts w:hint="eastAsia" w:ascii="宋体" w:hAnsi="宋体"/>
                <w:color w:val="auto"/>
                <w:sz w:val="24"/>
              </w:rPr>
              <w:t>17</w:t>
            </w:r>
          </w:p>
        </w:tc>
        <w:tc>
          <w:tcPr>
            <w:tcW w:w="3822" w:type="dxa"/>
            <w:vAlign w:val="center"/>
          </w:tcPr>
          <w:p>
            <w:pPr>
              <w:rPr>
                <w:rFonts w:ascii="宋体" w:hAnsi="宋体"/>
                <w:color w:val="auto"/>
                <w:sz w:val="24"/>
              </w:rPr>
            </w:pPr>
            <w:r>
              <w:rPr>
                <w:rFonts w:hint="eastAsia" w:ascii="宋体" w:hAnsi="宋体"/>
                <w:color w:val="auto"/>
                <w:sz w:val="24"/>
              </w:rPr>
              <w:t>端站极限停梯保护功能</w:t>
            </w:r>
          </w:p>
        </w:tc>
        <w:tc>
          <w:tcPr>
            <w:tcW w:w="764" w:type="dxa"/>
            <w:vAlign w:val="center"/>
          </w:tcPr>
          <w:p>
            <w:pPr>
              <w:jc w:val="center"/>
              <w:rPr>
                <w:rFonts w:ascii="宋体" w:hAnsi="宋体" w:cs="宋体"/>
                <w:color w:val="auto"/>
                <w:sz w:val="24"/>
              </w:rPr>
            </w:pPr>
            <w:r>
              <w:rPr>
                <w:rFonts w:hint="eastAsia" w:ascii="宋体" w:hAnsi="宋体" w:cs="宋体"/>
                <w:color w:val="auto"/>
                <w:sz w:val="24"/>
              </w:rPr>
              <w:t>35</w:t>
            </w:r>
          </w:p>
        </w:tc>
        <w:tc>
          <w:tcPr>
            <w:tcW w:w="4215" w:type="dxa"/>
            <w:vAlign w:val="center"/>
          </w:tcPr>
          <w:p>
            <w:pPr>
              <w:rPr>
                <w:rFonts w:ascii="宋体" w:hAnsi="宋体" w:cs="宋体"/>
                <w:color w:val="auto"/>
                <w:sz w:val="24"/>
              </w:rPr>
            </w:pPr>
            <w:r>
              <w:rPr>
                <w:rFonts w:hint="eastAsia" w:ascii="宋体" w:hAnsi="宋体" w:cs="宋体"/>
                <w:color w:val="auto"/>
                <w:sz w:val="24"/>
              </w:rPr>
              <w:t>UCMP保护功能</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734" w:type="dxa"/>
            <w:vAlign w:val="center"/>
          </w:tcPr>
          <w:p>
            <w:pPr>
              <w:jc w:val="center"/>
              <w:rPr>
                <w:rFonts w:ascii="宋体" w:hAnsi="宋体"/>
                <w:color w:val="auto"/>
                <w:sz w:val="24"/>
              </w:rPr>
            </w:pPr>
            <w:r>
              <w:rPr>
                <w:rFonts w:hint="eastAsia" w:ascii="宋体" w:hAnsi="宋体"/>
                <w:color w:val="auto"/>
                <w:sz w:val="24"/>
              </w:rPr>
              <w:t>18</w:t>
            </w:r>
          </w:p>
        </w:tc>
        <w:tc>
          <w:tcPr>
            <w:tcW w:w="3822" w:type="dxa"/>
            <w:vAlign w:val="center"/>
          </w:tcPr>
          <w:p>
            <w:pPr>
              <w:rPr>
                <w:rFonts w:ascii="宋体" w:hAnsi="宋体"/>
                <w:color w:val="auto"/>
                <w:sz w:val="24"/>
              </w:rPr>
            </w:pPr>
            <w:r>
              <w:rPr>
                <w:rFonts w:hint="eastAsia" w:ascii="宋体" w:hAnsi="宋体"/>
                <w:color w:val="auto"/>
                <w:sz w:val="24"/>
              </w:rPr>
              <w:t>反向消号功能</w:t>
            </w:r>
          </w:p>
        </w:tc>
        <w:tc>
          <w:tcPr>
            <w:tcW w:w="764" w:type="dxa"/>
            <w:vAlign w:val="center"/>
          </w:tcPr>
          <w:p>
            <w:pPr>
              <w:jc w:val="center"/>
              <w:rPr>
                <w:rFonts w:ascii="宋体" w:hAnsi="宋体"/>
                <w:color w:val="auto"/>
                <w:sz w:val="24"/>
              </w:rPr>
            </w:pPr>
            <w:r>
              <w:rPr>
                <w:rFonts w:hint="eastAsia" w:ascii="宋体" w:hAnsi="宋体"/>
                <w:color w:val="auto"/>
                <w:sz w:val="24"/>
              </w:rPr>
              <w:t>36</w:t>
            </w:r>
          </w:p>
        </w:tc>
        <w:tc>
          <w:tcPr>
            <w:tcW w:w="4215" w:type="dxa"/>
            <w:vAlign w:val="center"/>
          </w:tcPr>
          <w:p>
            <w:pPr>
              <w:rPr>
                <w:rFonts w:ascii="宋体" w:hAnsi="宋体"/>
                <w:color w:val="auto"/>
                <w:sz w:val="24"/>
              </w:rPr>
            </w:pPr>
            <w:r>
              <w:rPr>
                <w:rFonts w:hint="eastAsia" w:ascii="宋体" w:hAnsi="宋体"/>
                <w:color w:val="auto"/>
                <w:sz w:val="24"/>
              </w:rPr>
              <w:t>防捣乱功能</w:t>
            </w:r>
          </w:p>
        </w:tc>
      </w:tr>
    </w:tbl>
    <w:p>
      <w:pPr>
        <w:spacing w:line="400" w:lineRule="exact"/>
        <w:rPr>
          <w:color w:val="auto"/>
        </w:rPr>
      </w:pPr>
    </w:p>
    <w:bookmarkEnd w:id="8"/>
    <w:sectPr>
      <w:headerReference r:id="rId5" w:type="default"/>
      <w:footerReference r:id="rId6" w:type="default"/>
      <w:footerReference r:id="rId7" w:type="even"/>
      <w:pgSz w:w="11906" w:h="16838"/>
      <w:pgMar w:top="907" w:right="851" w:bottom="851" w:left="851"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宋体-18030">
    <w:altName w:val="宋体"/>
    <w:panose1 w:val="00000000000000000000"/>
    <w:charset w:val="86"/>
    <w:family w:val="modern"/>
    <w:pitch w:val="default"/>
    <w:sig w:usb0="00000000" w:usb1="00000000" w:usb2="000A005E"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1471" w:wrap="around" w:vAnchor="text" w:hAnchor="margin" w:xAlign="center" w:y="-6"/>
      <w:rPr>
        <w:rStyle w:val="12"/>
      </w:rPr>
    </w:pPr>
    <w:r>
      <w:rPr>
        <w:rStyle w:val="12"/>
        <w:rFonts w:hint="eastAsia"/>
      </w:rPr>
      <w:t>第</w:t>
    </w:r>
    <w:r>
      <w:fldChar w:fldCharType="begin"/>
    </w:r>
    <w:r>
      <w:rPr>
        <w:rStyle w:val="12"/>
      </w:rPr>
      <w:instrText xml:space="preserve">PAGE  </w:instrText>
    </w:r>
    <w:r>
      <w:fldChar w:fldCharType="separate"/>
    </w:r>
    <w:r>
      <w:rPr>
        <w:rStyle w:val="12"/>
      </w:rPr>
      <w:t>2</w:t>
    </w:r>
    <w:r>
      <w:fldChar w:fldCharType="end"/>
    </w:r>
    <w:r>
      <w:rPr>
        <w:rStyle w:val="12"/>
        <w:rFonts w:hint="eastAsia"/>
      </w:rPr>
      <w:t xml:space="preserve">页 </w:t>
    </w:r>
  </w:p>
  <w:p>
    <w:pPr>
      <w:pStyle w:val="7"/>
      <w:framePr w:w="1471" w:wrap="around" w:vAnchor="text" w:hAnchor="margin" w:xAlign="center" w:y="-6"/>
      <w:rPr>
        <w:rStyle w:val="12"/>
      </w:rP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kOWUwZWIxNWY3MzBiNzhmMTJjN2YxMmJlMDY0MDkifQ=="/>
  </w:docVars>
  <w:rsids>
    <w:rsidRoot w:val="00F04BEA"/>
    <w:rsid w:val="00013326"/>
    <w:rsid w:val="00072C34"/>
    <w:rsid w:val="00076E7F"/>
    <w:rsid w:val="000948C4"/>
    <w:rsid w:val="001107E4"/>
    <w:rsid w:val="001440AF"/>
    <w:rsid w:val="00162FDE"/>
    <w:rsid w:val="001C3A2E"/>
    <w:rsid w:val="001F1FF6"/>
    <w:rsid w:val="0021495F"/>
    <w:rsid w:val="00261583"/>
    <w:rsid w:val="00261F4B"/>
    <w:rsid w:val="0026314F"/>
    <w:rsid w:val="002A1A10"/>
    <w:rsid w:val="002A706C"/>
    <w:rsid w:val="002E6937"/>
    <w:rsid w:val="003024E9"/>
    <w:rsid w:val="00304934"/>
    <w:rsid w:val="00342860"/>
    <w:rsid w:val="00347F71"/>
    <w:rsid w:val="00354446"/>
    <w:rsid w:val="003872CD"/>
    <w:rsid w:val="00394E9C"/>
    <w:rsid w:val="003A1B45"/>
    <w:rsid w:val="003D4DA6"/>
    <w:rsid w:val="003F10EC"/>
    <w:rsid w:val="004268B8"/>
    <w:rsid w:val="004A183A"/>
    <w:rsid w:val="004F5B09"/>
    <w:rsid w:val="005258A9"/>
    <w:rsid w:val="00530D79"/>
    <w:rsid w:val="0053353B"/>
    <w:rsid w:val="005431B5"/>
    <w:rsid w:val="0054596B"/>
    <w:rsid w:val="005578D2"/>
    <w:rsid w:val="005B6D70"/>
    <w:rsid w:val="005D3CD7"/>
    <w:rsid w:val="005E4216"/>
    <w:rsid w:val="006238A4"/>
    <w:rsid w:val="006B228B"/>
    <w:rsid w:val="006C5EC3"/>
    <w:rsid w:val="006D1F75"/>
    <w:rsid w:val="00740DF4"/>
    <w:rsid w:val="0075207B"/>
    <w:rsid w:val="00754633"/>
    <w:rsid w:val="00785BAF"/>
    <w:rsid w:val="007942DA"/>
    <w:rsid w:val="007C20B0"/>
    <w:rsid w:val="007C27F2"/>
    <w:rsid w:val="007C36A5"/>
    <w:rsid w:val="0081102B"/>
    <w:rsid w:val="008321E9"/>
    <w:rsid w:val="00854CC4"/>
    <w:rsid w:val="008725E4"/>
    <w:rsid w:val="00896573"/>
    <w:rsid w:val="008A70CB"/>
    <w:rsid w:val="008F0A2C"/>
    <w:rsid w:val="00913020"/>
    <w:rsid w:val="00995390"/>
    <w:rsid w:val="009E32FC"/>
    <w:rsid w:val="009E3B38"/>
    <w:rsid w:val="009F4AA7"/>
    <w:rsid w:val="00A21F36"/>
    <w:rsid w:val="00A475EC"/>
    <w:rsid w:val="00A9297B"/>
    <w:rsid w:val="00AA003C"/>
    <w:rsid w:val="00AE44D0"/>
    <w:rsid w:val="00B014CE"/>
    <w:rsid w:val="00B736C2"/>
    <w:rsid w:val="00BB61AB"/>
    <w:rsid w:val="00BD1E48"/>
    <w:rsid w:val="00BD2299"/>
    <w:rsid w:val="00C07CC6"/>
    <w:rsid w:val="00C31623"/>
    <w:rsid w:val="00C546DD"/>
    <w:rsid w:val="00C7133D"/>
    <w:rsid w:val="00CE7340"/>
    <w:rsid w:val="00CF392C"/>
    <w:rsid w:val="00CF57D4"/>
    <w:rsid w:val="00D0099E"/>
    <w:rsid w:val="00D05A65"/>
    <w:rsid w:val="00D14291"/>
    <w:rsid w:val="00D70CDA"/>
    <w:rsid w:val="00D9164B"/>
    <w:rsid w:val="00D91BF1"/>
    <w:rsid w:val="00DB1212"/>
    <w:rsid w:val="00DB25BB"/>
    <w:rsid w:val="00DC5C02"/>
    <w:rsid w:val="00DE1949"/>
    <w:rsid w:val="00E34E1A"/>
    <w:rsid w:val="00E4433B"/>
    <w:rsid w:val="00ED535D"/>
    <w:rsid w:val="00EF0306"/>
    <w:rsid w:val="00EF5975"/>
    <w:rsid w:val="00F04BEA"/>
    <w:rsid w:val="00FA06F7"/>
    <w:rsid w:val="06D670C3"/>
    <w:rsid w:val="07516DE2"/>
    <w:rsid w:val="084F6F27"/>
    <w:rsid w:val="08A0768D"/>
    <w:rsid w:val="093A2194"/>
    <w:rsid w:val="0AEA2F37"/>
    <w:rsid w:val="0E484B44"/>
    <w:rsid w:val="0F5F39F5"/>
    <w:rsid w:val="10B97633"/>
    <w:rsid w:val="16FE0496"/>
    <w:rsid w:val="1A3D1A9D"/>
    <w:rsid w:val="1BC71F5E"/>
    <w:rsid w:val="1C006A5E"/>
    <w:rsid w:val="1DFF5D11"/>
    <w:rsid w:val="1FC84473"/>
    <w:rsid w:val="20F4600E"/>
    <w:rsid w:val="210F4644"/>
    <w:rsid w:val="22BA5122"/>
    <w:rsid w:val="22CF0F38"/>
    <w:rsid w:val="265579A6"/>
    <w:rsid w:val="26C50688"/>
    <w:rsid w:val="26E13D67"/>
    <w:rsid w:val="27651E6B"/>
    <w:rsid w:val="27C30B63"/>
    <w:rsid w:val="282744B1"/>
    <w:rsid w:val="2C066D52"/>
    <w:rsid w:val="2C9C1E8B"/>
    <w:rsid w:val="2CDA4FE4"/>
    <w:rsid w:val="34F9077B"/>
    <w:rsid w:val="35637942"/>
    <w:rsid w:val="365875C5"/>
    <w:rsid w:val="36796A8A"/>
    <w:rsid w:val="39096AFA"/>
    <w:rsid w:val="39B05732"/>
    <w:rsid w:val="39D710EA"/>
    <w:rsid w:val="3BE63153"/>
    <w:rsid w:val="3C634773"/>
    <w:rsid w:val="3E3A7756"/>
    <w:rsid w:val="3EC41814"/>
    <w:rsid w:val="3FE27D06"/>
    <w:rsid w:val="407E7DCE"/>
    <w:rsid w:val="41C73B79"/>
    <w:rsid w:val="42280D64"/>
    <w:rsid w:val="44472BCC"/>
    <w:rsid w:val="44F7014F"/>
    <w:rsid w:val="47FC782A"/>
    <w:rsid w:val="48484C47"/>
    <w:rsid w:val="48585198"/>
    <w:rsid w:val="4BD411EA"/>
    <w:rsid w:val="4E453CD9"/>
    <w:rsid w:val="52A110A3"/>
    <w:rsid w:val="547F5A6B"/>
    <w:rsid w:val="552D4709"/>
    <w:rsid w:val="584A116B"/>
    <w:rsid w:val="59183561"/>
    <w:rsid w:val="593A4AEF"/>
    <w:rsid w:val="5C4767BF"/>
    <w:rsid w:val="5C6B316D"/>
    <w:rsid w:val="5CDD1F2C"/>
    <w:rsid w:val="5E90038D"/>
    <w:rsid w:val="5EC944B2"/>
    <w:rsid w:val="60DA6122"/>
    <w:rsid w:val="63AF4E33"/>
    <w:rsid w:val="64A356DF"/>
    <w:rsid w:val="6589346B"/>
    <w:rsid w:val="6A6E5F0E"/>
    <w:rsid w:val="6CCA67CF"/>
    <w:rsid w:val="6CD50C99"/>
    <w:rsid w:val="6CF03552"/>
    <w:rsid w:val="6FCD36D6"/>
    <w:rsid w:val="716562BC"/>
    <w:rsid w:val="739C1D3D"/>
    <w:rsid w:val="73E57241"/>
    <w:rsid w:val="74A52CDA"/>
    <w:rsid w:val="776E3ADC"/>
    <w:rsid w:val="77732652"/>
    <w:rsid w:val="786D2DBB"/>
    <w:rsid w:val="79314655"/>
    <w:rsid w:val="79610DA9"/>
    <w:rsid w:val="79B4390C"/>
    <w:rsid w:val="7C582356"/>
    <w:rsid w:val="7E355268"/>
    <w:rsid w:val="7F4A08A0"/>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6"/>
    <w:basedOn w:val="1"/>
    <w:next w:val="1"/>
    <w:link w:val="14"/>
    <w:qFormat/>
    <w:uiPriority w:val="0"/>
    <w:pPr>
      <w:keepNext/>
      <w:keepLines/>
      <w:widowControl/>
      <w:tabs>
        <w:tab w:val="left" w:pos="1440"/>
      </w:tabs>
      <w:adjustRightInd/>
      <w:spacing w:before="240" w:after="64" w:line="319" w:lineRule="auto"/>
      <w:ind w:left="1152" w:hanging="1152"/>
      <w:jc w:val="left"/>
      <w:textAlignment w:val="auto"/>
      <w:outlineLvl w:val="5"/>
    </w:pPr>
    <w:rPr>
      <w:rFonts w:ascii="Arial" w:hAnsi="Arial" w:eastAsia="黑体"/>
      <w:b/>
      <w:bCs/>
      <w:sz w:val="2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5"/>
    <w:qFormat/>
    <w:uiPriority w:val="0"/>
    <w:rPr>
      <w:rFonts w:ascii="宋体"/>
      <w:sz w:val="18"/>
      <w:szCs w:val="18"/>
    </w:rPr>
  </w:style>
  <w:style w:type="paragraph" w:styleId="4">
    <w:name w:val="annotation text"/>
    <w:basedOn w:val="1"/>
    <w:semiHidden/>
    <w:unhideWhenUsed/>
    <w:qFormat/>
    <w:uiPriority w:val="99"/>
    <w:pPr>
      <w:jc w:val="left"/>
    </w:pPr>
  </w:style>
  <w:style w:type="paragraph" w:styleId="5">
    <w:name w:val="Date"/>
    <w:basedOn w:val="1"/>
    <w:next w:val="1"/>
    <w:link w:val="16"/>
    <w:qFormat/>
    <w:uiPriority w:val="0"/>
    <w:pPr>
      <w:ind w:left="100" w:leftChars="2500"/>
    </w:pPr>
  </w:style>
  <w:style w:type="paragraph" w:styleId="6">
    <w:name w:val="Balloon Text"/>
    <w:basedOn w:val="1"/>
    <w:link w:val="17"/>
    <w:qFormat/>
    <w:uiPriority w:val="0"/>
    <w:rPr>
      <w:sz w:val="18"/>
      <w:szCs w:val="18"/>
    </w:rPr>
  </w:style>
  <w:style w:type="paragraph" w:styleId="7">
    <w:name w:val="footer"/>
    <w:basedOn w:val="1"/>
    <w:link w:val="18"/>
    <w:qFormat/>
    <w:uiPriority w:val="0"/>
    <w:pPr>
      <w:tabs>
        <w:tab w:val="center" w:pos="4153"/>
        <w:tab w:val="right" w:pos="8306"/>
      </w:tabs>
      <w:snapToGrid w:val="0"/>
      <w:spacing w:line="240" w:lineRule="atLeast"/>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itle"/>
    <w:basedOn w:val="1"/>
    <w:next w:val="1"/>
    <w:qFormat/>
    <w:uiPriority w:val="0"/>
    <w:pPr>
      <w:spacing w:before="240" w:after="60"/>
      <w:jc w:val="center"/>
      <w:outlineLvl w:val="0"/>
    </w:pPr>
    <w:rPr>
      <w:rFonts w:ascii="Cambria" w:hAnsi="Cambria"/>
      <w:b/>
      <w:bCs/>
      <w:sz w:val="32"/>
      <w:szCs w:val="32"/>
    </w:rPr>
  </w:style>
  <w:style w:type="character" w:styleId="12">
    <w:name w:val="page number"/>
    <w:basedOn w:val="11"/>
    <w:qFormat/>
    <w:uiPriority w:val="0"/>
  </w:style>
  <w:style w:type="character" w:styleId="13">
    <w:name w:val="annotation reference"/>
    <w:basedOn w:val="11"/>
    <w:semiHidden/>
    <w:unhideWhenUsed/>
    <w:qFormat/>
    <w:uiPriority w:val="99"/>
    <w:rPr>
      <w:sz w:val="21"/>
      <w:szCs w:val="21"/>
    </w:rPr>
  </w:style>
  <w:style w:type="character" w:customStyle="1" w:styleId="14">
    <w:name w:val="标题 6 Char"/>
    <w:basedOn w:val="11"/>
    <w:link w:val="2"/>
    <w:qFormat/>
    <w:uiPriority w:val="0"/>
    <w:rPr>
      <w:rFonts w:ascii="Arial" w:hAnsi="Arial" w:eastAsia="黑体" w:cs="Times New Roman"/>
      <w:b/>
      <w:bCs/>
      <w:kern w:val="0"/>
      <w:sz w:val="24"/>
      <w:szCs w:val="24"/>
    </w:rPr>
  </w:style>
  <w:style w:type="character" w:customStyle="1" w:styleId="15">
    <w:name w:val="文档结构图 Char"/>
    <w:basedOn w:val="11"/>
    <w:link w:val="3"/>
    <w:qFormat/>
    <w:uiPriority w:val="0"/>
    <w:rPr>
      <w:rFonts w:ascii="宋体" w:hAnsi="Times New Roman" w:eastAsia="宋体" w:cs="Times New Roman"/>
      <w:kern w:val="0"/>
      <w:sz w:val="18"/>
      <w:szCs w:val="18"/>
    </w:rPr>
  </w:style>
  <w:style w:type="character" w:customStyle="1" w:styleId="16">
    <w:name w:val="日期 Char"/>
    <w:basedOn w:val="11"/>
    <w:link w:val="5"/>
    <w:qFormat/>
    <w:uiPriority w:val="0"/>
    <w:rPr>
      <w:rFonts w:ascii="Times New Roman" w:hAnsi="Times New Roman" w:eastAsia="宋体" w:cs="Times New Roman"/>
      <w:kern w:val="0"/>
      <w:szCs w:val="20"/>
    </w:rPr>
  </w:style>
  <w:style w:type="character" w:customStyle="1" w:styleId="17">
    <w:name w:val="批注框文本 Char"/>
    <w:basedOn w:val="11"/>
    <w:link w:val="6"/>
    <w:qFormat/>
    <w:uiPriority w:val="0"/>
    <w:rPr>
      <w:rFonts w:ascii="Times New Roman" w:hAnsi="Times New Roman" w:eastAsia="宋体" w:cs="Times New Roman"/>
      <w:kern w:val="0"/>
      <w:sz w:val="18"/>
      <w:szCs w:val="18"/>
    </w:rPr>
  </w:style>
  <w:style w:type="character" w:customStyle="1" w:styleId="18">
    <w:name w:val="页脚 Char"/>
    <w:basedOn w:val="11"/>
    <w:link w:val="7"/>
    <w:qFormat/>
    <w:uiPriority w:val="0"/>
    <w:rPr>
      <w:rFonts w:ascii="Times New Roman" w:hAnsi="Times New Roman" w:eastAsia="宋体" w:cs="Times New Roman"/>
      <w:kern w:val="0"/>
      <w:sz w:val="18"/>
      <w:szCs w:val="18"/>
    </w:rPr>
  </w:style>
  <w:style w:type="character" w:customStyle="1" w:styleId="19">
    <w:name w:val="页眉 Char"/>
    <w:basedOn w:val="11"/>
    <w:link w:val="8"/>
    <w:qFormat/>
    <w:uiPriority w:val="0"/>
    <w:rPr>
      <w:rFonts w:ascii="Times New Roman" w:hAnsi="Times New Roman" w:eastAsia="宋体" w:cs="Times New Roman"/>
      <w:kern w:val="0"/>
      <w:sz w:val="18"/>
      <w:szCs w:val="18"/>
    </w:rPr>
  </w:style>
  <w:style w:type="paragraph" w:customStyle="1" w:styleId="20">
    <w:name w:val="Char Char1 Char Char Char Char Char Char Char Char Char Char Char Char Char Char"/>
    <w:basedOn w:val="1"/>
    <w:qFormat/>
    <w:uiPriority w:val="0"/>
    <w:pPr>
      <w:widowControl/>
      <w:adjustRightInd/>
      <w:spacing w:after="160" w:line="240" w:lineRule="exact"/>
      <w:jc w:val="left"/>
      <w:textAlignment w:val="auto"/>
    </w:pPr>
    <w:rPr>
      <w:kern w:val="2"/>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1335</Words>
  <Characters>7615</Characters>
  <Lines>63</Lines>
  <Paragraphs>17</Paragraphs>
  <TotalTime>9</TotalTime>
  <ScaleCrop>false</ScaleCrop>
  <LinksUpToDate>false</LinksUpToDate>
  <CharactersWithSpaces>8933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2023-07-17T05:12:00Z</dcterms:created>
  <dc:creator>min</dc:creator>
  <cp:lastModifiedBy>61052</cp:lastModifiedBy>
  <cp:lastPrinted>2023-05-19T01:46:00Z</cp:lastPrinted>
  <dcterms:modified xsi:type="dcterms:W3CDTF">2023-07-26T01:34:15Z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2B41093D002542789F27BBE308A02656_13</vt:lpwstr>
  </property>
</Properties>
</file>